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2314" w14:textId="4FB18462"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CE10EF">
        <w:rPr>
          <w:rFonts w:ascii="Arial Narrow" w:hAnsi="Arial Narrow" w:cs="Arial"/>
          <w:b/>
          <w:color w:val="E36C0A" w:themeColor="accent6" w:themeShade="BF"/>
          <w:sz w:val="32"/>
          <w:szCs w:val="32"/>
        </w:rPr>
        <w:t>(updated for FY 20</w:t>
      </w:r>
      <w:r w:rsidR="00D21084" w:rsidRPr="00CE10EF">
        <w:rPr>
          <w:rFonts w:ascii="Arial Narrow" w:hAnsi="Arial Narrow" w:cs="Arial"/>
          <w:b/>
          <w:color w:val="E36C0A" w:themeColor="accent6" w:themeShade="BF"/>
          <w:sz w:val="32"/>
          <w:szCs w:val="32"/>
        </w:rPr>
        <w:t>2</w:t>
      </w:r>
      <w:r w:rsidR="00CE10EF">
        <w:rPr>
          <w:rFonts w:ascii="Arial Narrow" w:hAnsi="Arial Narrow" w:cs="Arial"/>
          <w:b/>
          <w:color w:val="E36C0A" w:themeColor="accent6" w:themeShade="BF"/>
          <w:sz w:val="32"/>
          <w:szCs w:val="32"/>
        </w:rPr>
        <w:t>2</w:t>
      </w:r>
      <w:r w:rsidR="00A81D66" w:rsidRPr="00CE10EF">
        <w:rPr>
          <w:rFonts w:ascii="Arial Narrow" w:hAnsi="Arial Narrow" w:cs="Arial"/>
          <w:b/>
          <w:color w:val="E36C0A" w:themeColor="accent6" w:themeShade="BF"/>
          <w:sz w:val="32"/>
          <w:szCs w:val="32"/>
        </w:rPr>
        <w:t xml:space="preserve"> employer reporting)</w:t>
      </w:r>
    </w:p>
    <w:p w14:paraId="3665A71C" w14:textId="77777777"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14:paraId="74C8A5ED" w14:textId="77777777"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14:paraId="50925D3F"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14:paraId="1A102650"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14:paraId="789A782B" w14:textId="77777777"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14:paraId="5900F0CC" w14:textId="77777777"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14:paraId="1422A099" w14:textId="77777777"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14:paraId="0F77C2EF" w14:textId="77777777" w:rsidR="00AB3B4B" w:rsidRPr="009D1BDC" w:rsidRDefault="00AB3B4B" w:rsidP="00AB3B4B">
      <w:pPr>
        <w:pStyle w:val="Default"/>
        <w:rPr>
          <w:rFonts w:ascii="Arial Narrow" w:hAnsi="Arial Narrow"/>
          <w:sz w:val="22"/>
          <w:szCs w:val="22"/>
        </w:rPr>
      </w:pPr>
    </w:p>
    <w:p w14:paraId="007E0AE4" w14:textId="77777777"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14:paraId="7E748BEA" w14:textId="77777777"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14:paraId="58288DF6" w14:textId="77777777"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14:paraId="26DB08C9" w14:textId="77777777" w:rsidR="00AB3B4B" w:rsidRPr="009D1BDC" w:rsidRDefault="00AB3B4B" w:rsidP="00AB3B4B">
      <w:pPr>
        <w:pStyle w:val="Default"/>
        <w:rPr>
          <w:rFonts w:ascii="Arial Narrow" w:hAnsi="Arial Narrow"/>
          <w:sz w:val="22"/>
          <w:szCs w:val="22"/>
        </w:rPr>
      </w:pPr>
    </w:p>
    <w:p w14:paraId="3BECC882" w14:textId="77777777"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14:paraId="05D4F3A1" w14:textId="77777777" w:rsidR="003B65B3" w:rsidRDefault="003B65B3" w:rsidP="003B65B3">
      <w:pPr>
        <w:pStyle w:val="NoSpacing"/>
      </w:pPr>
    </w:p>
    <w:p w14:paraId="55931724" w14:textId="77777777"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14:paraId="06EBAE00" w14:textId="77777777"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10"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14:paraId="1A7EFB63" w14:textId="77777777"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14:paraId="147EC016" w14:textId="77777777" w:rsidR="00FE590E" w:rsidRPr="008B2650" w:rsidRDefault="00FE590E" w:rsidP="00FE590E">
      <w:pPr>
        <w:pStyle w:val="NoSpacing"/>
        <w:jc w:val="both"/>
        <w:rPr>
          <w:rFonts w:ascii="Arial Narrow" w:hAnsi="Arial Narrow"/>
        </w:rPr>
      </w:pPr>
    </w:p>
    <w:p w14:paraId="5D9BCB88" w14:textId="77777777"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14:paraId="3CDBFB72" w14:textId="77777777" w:rsidR="00FE590E" w:rsidRDefault="00FE590E" w:rsidP="00FE590E">
      <w:pPr>
        <w:pStyle w:val="NoSpacing"/>
        <w:jc w:val="both"/>
        <w:rPr>
          <w:rFonts w:ascii="Arial Narrow" w:hAnsi="Arial Narrow"/>
        </w:rPr>
      </w:pPr>
    </w:p>
    <w:p w14:paraId="5E4A127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14:paraId="5AB42997" w14:textId="77777777" w:rsidR="00FE590E" w:rsidRDefault="00FE590E" w:rsidP="00FE590E">
      <w:pPr>
        <w:pStyle w:val="NoSpacing"/>
        <w:jc w:val="both"/>
        <w:rPr>
          <w:rFonts w:ascii="Arial Narrow" w:hAnsi="Arial Narrow"/>
        </w:rPr>
      </w:pPr>
    </w:p>
    <w:p w14:paraId="4CAC5A13" w14:textId="77777777"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2012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applicable FAC will be the greater of the member’s highest three year FAC as of July 1, 2012 or the five year FAC as of the retirement/termination date. Monthly benefits are based on one-twelfth of this amount. </w:t>
      </w:r>
    </w:p>
    <w:p w14:paraId="0B086B0A" w14:textId="77777777" w:rsidR="00FE590E" w:rsidRDefault="00FE590E" w:rsidP="00FE590E">
      <w:pPr>
        <w:pStyle w:val="NoSpacing"/>
        <w:jc w:val="both"/>
        <w:rPr>
          <w:rFonts w:ascii="Arial Narrow" w:hAnsi="Arial Narrow"/>
          <w:b/>
          <w:i/>
        </w:rPr>
      </w:pPr>
    </w:p>
    <w:p w14:paraId="5CFF13D5" w14:textId="77777777"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14:paraId="40A8AADF" w14:textId="77777777" w:rsidR="00FE590E" w:rsidRDefault="00FE590E" w:rsidP="00FE590E">
      <w:pPr>
        <w:pStyle w:val="NoSpacing"/>
        <w:jc w:val="both"/>
        <w:rPr>
          <w:rFonts w:ascii="Arial Narrow" w:hAnsi="Arial Narrow"/>
        </w:rPr>
      </w:pPr>
    </w:p>
    <w:p w14:paraId="21AFF458" w14:textId="77777777"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14:paraId="763DAACF" w14:textId="77777777" w:rsidR="00FE590E" w:rsidRDefault="00FE590E" w:rsidP="00FE590E">
      <w:pPr>
        <w:pStyle w:val="NoSpacing"/>
        <w:jc w:val="both"/>
        <w:rPr>
          <w:rFonts w:ascii="Arial Narrow" w:hAnsi="Arial Narrow"/>
        </w:rPr>
      </w:pPr>
    </w:p>
    <w:p w14:paraId="36CEB50C" w14:textId="77777777"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w:t>
      </w:r>
      <w:r w:rsidR="00E2190D">
        <w:rPr>
          <w:rFonts w:ascii="Arial Narrow" w:hAnsi="Arial Narrow"/>
        </w:rPr>
        <w:t xml:space="preserve">as described </w:t>
      </w:r>
      <w:r w:rsidRPr="00EA258B">
        <w:rPr>
          <w:rFonts w:ascii="Arial Narrow" w:hAnsi="Arial Narrow"/>
        </w:rPr>
        <w:t xml:space="preserve">above. The interpolation is based on service as of June 30, 2012 divided by projected service at the member’s prior Retirement Date. The minimum retirement age is 59. </w:t>
      </w:r>
    </w:p>
    <w:p w14:paraId="33044BED" w14:textId="77777777" w:rsidR="00FE590E" w:rsidRDefault="00FE590E" w:rsidP="00FE590E">
      <w:pPr>
        <w:pStyle w:val="NoSpacing"/>
        <w:jc w:val="both"/>
        <w:rPr>
          <w:rFonts w:ascii="Arial Narrow" w:hAnsi="Arial Narrow"/>
        </w:rPr>
      </w:pPr>
    </w:p>
    <w:p w14:paraId="46E1904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14:paraId="5668AAB7" w14:textId="77777777" w:rsidR="00FE590E" w:rsidRDefault="00FE590E" w:rsidP="00FE590E">
      <w:pPr>
        <w:pStyle w:val="NoSpacing"/>
        <w:jc w:val="both"/>
        <w:rPr>
          <w:rFonts w:ascii="Arial Narrow" w:hAnsi="Arial Narrow"/>
        </w:rPr>
      </w:pPr>
    </w:p>
    <w:p w14:paraId="086A0DC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14:paraId="679FDA05" w14:textId="77777777" w:rsidR="00FE590E" w:rsidRDefault="00FE590E" w:rsidP="00FE590E">
      <w:pPr>
        <w:pStyle w:val="NoSpacing"/>
        <w:jc w:val="both"/>
        <w:rPr>
          <w:rFonts w:ascii="Arial Narrow" w:hAnsi="Arial Narrow"/>
        </w:rPr>
      </w:pPr>
    </w:p>
    <w:p w14:paraId="7A7BD146" w14:textId="77777777"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14:paraId="7B185400" w14:textId="77777777" w:rsidR="00FE590E" w:rsidRDefault="00FE590E" w:rsidP="00FE590E">
      <w:pPr>
        <w:pStyle w:val="NoSpacing"/>
        <w:jc w:val="both"/>
        <w:rPr>
          <w:rFonts w:ascii="Arial Narrow" w:hAnsi="Arial Narrow"/>
        </w:rPr>
      </w:pPr>
    </w:p>
    <w:p w14:paraId="6F5B81A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14:paraId="2489D509" w14:textId="77777777" w:rsidR="00FE590E" w:rsidRDefault="00FE590E" w:rsidP="00FE590E">
      <w:pPr>
        <w:pStyle w:val="NoSpacing"/>
        <w:jc w:val="both"/>
        <w:rPr>
          <w:rFonts w:ascii="Arial Narrow" w:hAnsi="Arial Narrow"/>
        </w:rPr>
      </w:pPr>
    </w:p>
    <w:p w14:paraId="56BE8D5D" w14:textId="77777777"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14:paraId="6742137B" w14:textId="77777777" w:rsidR="00FE590E" w:rsidRDefault="00FE590E" w:rsidP="00FE590E">
      <w:pPr>
        <w:pStyle w:val="NoSpacing"/>
        <w:jc w:val="both"/>
        <w:rPr>
          <w:rFonts w:ascii="Arial Narrow" w:hAnsi="Arial Narrow"/>
          <w:b/>
          <w:i/>
        </w:rPr>
      </w:pPr>
    </w:p>
    <w:p w14:paraId="6CF248B2" w14:textId="77777777"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14:paraId="25DBCDE6" w14:textId="77777777" w:rsidR="00FE590E" w:rsidRDefault="00FE590E" w:rsidP="00FE590E">
      <w:pPr>
        <w:pStyle w:val="NoSpacing"/>
        <w:jc w:val="both"/>
        <w:rPr>
          <w:rFonts w:ascii="Arial Narrow" w:hAnsi="Arial Narrow"/>
        </w:rPr>
      </w:pPr>
    </w:p>
    <w:p w14:paraId="7C76C67E"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14:paraId="73A9DD16" w14:textId="77777777" w:rsidR="00FE590E" w:rsidRDefault="00FE590E" w:rsidP="00FE590E">
      <w:pPr>
        <w:pStyle w:val="NoSpacing"/>
        <w:jc w:val="both"/>
        <w:rPr>
          <w:rFonts w:ascii="Arial Narrow" w:hAnsi="Arial Narrow"/>
        </w:rPr>
      </w:pPr>
    </w:p>
    <w:p w14:paraId="56938502"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14:paraId="74628CD8" w14:textId="77777777" w:rsidR="00FE590E" w:rsidRDefault="00FE590E" w:rsidP="00FE590E">
      <w:pPr>
        <w:pStyle w:val="NoSpacing"/>
        <w:jc w:val="both"/>
        <w:rPr>
          <w:rFonts w:ascii="Arial Narrow" w:hAnsi="Arial Narrow"/>
        </w:rPr>
      </w:pPr>
    </w:p>
    <w:p w14:paraId="03C222A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14:paraId="49B6F3D2" w14:textId="77777777" w:rsidR="00FE590E" w:rsidRDefault="00FE590E" w:rsidP="00FE590E">
      <w:pPr>
        <w:pStyle w:val="NoSpacing"/>
        <w:jc w:val="both"/>
        <w:rPr>
          <w:rFonts w:ascii="Arial Narrow" w:hAnsi="Arial Narrow"/>
        </w:rPr>
      </w:pPr>
    </w:p>
    <w:p w14:paraId="0AB492C3" w14:textId="77777777"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A member who is within five years of reaching their retirement eligibility date, as described in this section, and has 20 or more years of service, may elect to retire at any time with an actuarially reduced benefit. </w:t>
      </w:r>
    </w:p>
    <w:p w14:paraId="4C6F03A7" w14:textId="77777777" w:rsidR="00FE590E" w:rsidRDefault="00FE590E" w:rsidP="00FE590E">
      <w:pPr>
        <w:pStyle w:val="NoSpacing"/>
        <w:jc w:val="both"/>
        <w:rPr>
          <w:rFonts w:ascii="Arial Narrow" w:hAnsi="Arial Narrow"/>
        </w:rPr>
      </w:pPr>
    </w:p>
    <w:p w14:paraId="59EBFC14"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14:paraId="4D326002" w14:textId="77777777" w:rsidR="00FE590E" w:rsidRDefault="00FE590E" w:rsidP="00FE590E">
      <w:pPr>
        <w:pStyle w:val="NoSpacing"/>
        <w:jc w:val="both"/>
        <w:rPr>
          <w:rFonts w:ascii="Arial Narrow" w:hAnsi="Arial Narrow"/>
        </w:rPr>
      </w:pPr>
    </w:p>
    <w:p w14:paraId="209A174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14:paraId="527BBD82" w14:textId="77777777" w:rsidR="00FE590E" w:rsidRDefault="00FE590E" w:rsidP="00FE590E">
      <w:pPr>
        <w:pStyle w:val="NoSpacing"/>
        <w:jc w:val="both"/>
        <w:rPr>
          <w:rFonts w:ascii="Arial Narrow" w:hAnsi="Arial Narrow"/>
        </w:rPr>
      </w:pPr>
    </w:p>
    <w:p w14:paraId="7021FF5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14:paraId="634D81A6" w14:textId="77777777" w:rsidR="00FE590E" w:rsidRDefault="00FE590E" w:rsidP="00FE590E">
      <w:pPr>
        <w:pStyle w:val="NoSpacing"/>
        <w:jc w:val="both"/>
        <w:rPr>
          <w:rFonts w:ascii="Arial Narrow" w:hAnsi="Arial Narrow"/>
        </w:rPr>
      </w:pPr>
    </w:p>
    <w:p w14:paraId="2F739D7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in (a) and (b) above and one calculated based on a 2.25% multiplier for all years of service. </w:t>
      </w:r>
    </w:p>
    <w:p w14:paraId="016BAD41" w14:textId="77777777" w:rsidR="00FE590E" w:rsidRDefault="00FE590E" w:rsidP="00FE590E">
      <w:pPr>
        <w:pStyle w:val="NoSpacing"/>
        <w:jc w:val="both"/>
        <w:rPr>
          <w:rFonts w:ascii="Arial Narrow" w:hAnsi="Arial Narrow"/>
          <w:b/>
          <w:i/>
        </w:rPr>
      </w:pPr>
    </w:p>
    <w:p w14:paraId="1AE248BE" w14:textId="77777777"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14:paraId="760D685A" w14:textId="77777777" w:rsidR="00FE590E" w:rsidRDefault="00FE590E" w:rsidP="00FE590E">
      <w:pPr>
        <w:pStyle w:val="NoSpacing"/>
        <w:jc w:val="both"/>
        <w:rPr>
          <w:rFonts w:ascii="Arial Narrow" w:hAnsi="Arial Narrow"/>
        </w:rPr>
      </w:pPr>
    </w:p>
    <w:p w14:paraId="7B694D6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14:paraId="11CB3EAA" w14:textId="77777777" w:rsidR="00FE590E" w:rsidRDefault="00FE590E" w:rsidP="00FE590E">
      <w:pPr>
        <w:pStyle w:val="NoSpacing"/>
        <w:jc w:val="both"/>
        <w:rPr>
          <w:rFonts w:ascii="Arial Narrow" w:hAnsi="Arial Narrow"/>
        </w:rPr>
      </w:pPr>
    </w:p>
    <w:p w14:paraId="3D2FB5EE" w14:textId="77777777"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14:paraId="6A6351D0" w14:textId="77777777" w:rsidR="00FE590E" w:rsidRDefault="00FE590E" w:rsidP="00FE590E">
      <w:pPr>
        <w:pStyle w:val="NoSpacing"/>
        <w:jc w:val="both"/>
        <w:rPr>
          <w:rFonts w:ascii="Arial Narrow" w:hAnsi="Arial Narrow"/>
        </w:rPr>
      </w:pPr>
    </w:p>
    <w:p w14:paraId="7F46770B" w14:textId="77777777"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14:paraId="4D51E312" w14:textId="77777777" w:rsidR="00FE590E" w:rsidRDefault="00FE590E" w:rsidP="00FE590E">
      <w:pPr>
        <w:pStyle w:val="NoSpacing"/>
        <w:jc w:val="both"/>
        <w:rPr>
          <w:rFonts w:ascii="Arial Narrow" w:hAnsi="Arial Narrow"/>
        </w:rPr>
      </w:pPr>
    </w:p>
    <w:p w14:paraId="59810FF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The first interim COLA may begin January 1, 2018. </w:t>
      </w:r>
    </w:p>
    <w:p w14:paraId="474E5C2F" w14:textId="77777777" w:rsidR="00FE590E" w:rsidRDefault="00FE590E" w:rsidP="00FE590E">
      <w:pPr>
        <w:pStyle w:val="NoSpacing"/>
        <w:jc w:val="both"/>
        <w:rPr>
          <w:rFonts w:ascii="Arial Narrow" w:hAnsi="Arial Narrow"/>
        </w:rPr>
      </w:pPr>
    </w:p>
    <w:p w14:paraId="24334EA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14:paraId="5F5DB68F" w14:textId="77777777" w:rsidR="00FE590E" w:rsidRDefault="00FE590E" w:rsidP="00FE590E">
      <w:pPr>
        <w:pStyle w:val="NoSpacing"/>
        <w:jc w:val="both"/>
        <w:rPr>
          <w:rFonts w:ascii="Arial Narrow" w:hAnsi="Arial Narrow"/>
        </w:rPr>
      </w:pPr>
    </w:p>
    <w:p w14:paraId="29316DE2" w14:textId="77777777" w:rsidR="00FE590E" w:rsidRPr="00EA258B" w:rsidRDefault="00FE590E" w:rsidP="00FE590E">
      <w:pPr>
        <w:pStyle w:val="NoSpacing"/>
        <w:jc w:val="both"/>
        <w:rPr>
          <w:rFonts w:ascii="Arial Narrow" w:hAnsi="Arial Narrow"/>
        </w:rPr>
      </w:pPr>
      <w:r w:rsidRPr="00EA258B">
        <w:rPr>
          <w:rFonts w:ascii="Arial Narrow" w:hAnsi="Arial Narrow"/>
        </w:rPr>
        <w:t>c. The COLA will be limited to the first $25,000 of the member's annual pension benefit. For retirees and beneficiaries who retired on or before July 1, 2015, years in which a COLA is payable based on the every fourth year provision described in (</w:t>
      </w:r>
      <w:r w:rsidR="00E2190D">
        <w:rPr>
          <w:rFonts w:ascii="Arial Narrow" w:hAnsi="Arial Narrow"/>
        </w:rPr>
        <w:t>a</w:t>
      </w:r>
      <w:r w:rsidRPr="00EA258B">
        <w:rPr>
          <w:rFonts w:ascii="Arial Narrow" w:hAnsi="Arial Narrow"/>
        </w:rPr>
        <w:t xml:space="preserve">) above will be limited to the first $30,000. These limits will be indexed annually to increase in the same manner as COLAs, with the known values of $25,000 for 2013, $25,000 for 2014, $25,168 for 2015, $25,855 for 2016, and $26,098 for 2017. </w:t>
      </w:r>
    </w:p>
    <w:p w14:paraId="68513A16" w14:textId="77777777" w:rsidR="00FE590E" w:rsidRDefault="00FE590E" w:rsidP="00AB3B4B">
      <w:pPr>
        <w:pStyle w:val="Default"/>
        <w:spacing w:before="120" w:after="120"/>
        <w:jc w:val="both"/>
        <w:rPr>
          <w:rFonts w:ascii="Arial Narrow" w:hAnsi="Arial Narrow"/>
          <w:sz w:val="22"/>
          <w:szCs w:val="22"/>
        </w:rPr>
      </w:pPr>
    </w:p>
    <w:p w14:paraId="0F2E46AC"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lastRenderedPageBreak/>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14:paraId="7D59DE71" w14:textId="77777777" w:rsidR="008B2650" w:rsidRDefault="008B2650" w:rsidP="008B2650">
      <w:pPr>
        <w:pStyle w:val="NoSpacing"/>
        <w:shd w:val="clear" w:color="auto" w:fill="FBD4B4" w:themeFill="accent6" w:themeFillTint="66"/>
        <w:jc w:val="both"/>
        <w:rPr>
          <w:rFonts w:ascii="Arial Narrow" w:hAnsi="Arial Narrow"/>
          <w:i/>
        </w:rPr>
      </w:pPr>
    </w:p>
    <w:p w14:paraId="7BB78A76" w14:textId="77777777"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14:paraId="4B47C2FC" w14:textId="77777777" w:rsidR="008B2650" w:rsidRDefault="008B2650" w:rsidP="008B2650">
      <w:pPr>
        <w:pStyle w:val="NoSpacing"/>
        <w:shd w:val="clear" w:color="auto" w:fill="FBD4B4" w:themeFill="accent6" w:themeFillTint="66"/>
        <w:jc w:val="both"/>
        <w:rPr>
          <w:rFonts w:ascii="Arial Narrow" w:hAnsi="Arial Narrow"/>
        </w:rPr>
      </w:pPr>
    </w:p>
    <w:p w14:paraId="1B10099A" w14:textId="77777777"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2012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14:paraId="514D1A6F" w14:textId="77777777" w:rsidR="008B2650" w:rsidRDefault="008B2650" w:rsidP="008B2650">
      <w:pPr>
        <w:pStyle w:val="NoSpacing"/>
        <w:shd w:val="clear" w:color="auto" w:fill="FBD4B4" w:themeFill="accent6" w:themeFillTint="66"/>
        <w:jc w:val="both"/>
        <w:rPr>
          <w:rFonts w:ascii="Arial Narrow" w:hAnsi="Arial Narrow"/>
          <w:i/>
        </w:rPr>
      </w:pPr>
    </w:p>
    <w:p w14:paraId="15FBE4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14:paraId="7B826339" w14:textId="77777777" w:rsidR="008B2650" w:rsidRDefault="008B2650" w:rsidP="008B2650">
      <w:pPr>
        <w:pStyle w:val="NoSpacing"/>
        <w:shd w:val="clear" w:color="auto" w:fill="FBD4B4" w:themeFill="accent6" w:themeFillTint="66"/>
        <w:jc w:val="both"/>
        <w:rPr>
          <w:rFonts w:ascii="Arial Narrow" w:hAnsi="Arial Narrow"/>
        </w:rPr>
      </w:pPr>
    </w:p>
    <w:p w14:paraId="54256FA0"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14:paraId="3B3838F3" w14:textId="77777777" w:rsidR="008B2650" w:rsidRDefault="008B2650" w:rsidP="008B2650">
      <w:pPr>
        <w:pStyle w:val="NoSpacing"/>
        <w:shd w:val="clear" w:color="auto" w:fill="FBD4B4" w:themeFill="accent6" w:themeFillTint="66"/>
        <w:jc w:val="both"/>
        <w:rPr>
          <w:rFonts w:ascii="Arial Narrow" w:hAnsi="Arial Narrow"/>
          <w:i/>
        </w:rPr>
      </w:pPr>
    </w:p>
    <w:p w14:paraId="76ED845C"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14:paraId="10FBC592" w14:textId="77777777" w:rsidR="008B2650" w:rsidRDefault="008B2650" w:rsidP="008B2650">
      <w:pPr>
        <w:pStyle w:val="NoSpacing"/>
        <w:shd w:val="clear" w:color="auto" w:fill="FBD4B4" w:themeFill="accent6" w:themeFillTint="66"/>
        <w:jc w:val="both"/>
        <w:rPr>
          <w:rFonts w:ascii="Arial Narrow" w:hAnsi="Arial Narrow"/>
        </w:rPr>
      </w:pPr>
    </w:p>
    <w:p w14:paraId="25D7272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14:paraId="4A0647C8" w14:textId="77777777" w:rsidR="008B2650" w:rsidRDefault="008B2650" w:rsidP="008B2650">
      <w:pPr>
        <w:pStyle w:val="NoSpacing"/>
        <w:shd w:val="clear" w:color="auto" w:fill="FBD4B4" w:themeFill="accent6" w:themeFillTint="66"/>
        <w:jc w:val="both"/>
        <w:rPr>
          <w:rFonts w:ascii="Arial Narrow" w:hAnsi="Arial Narrow"/>
          <w:i/>
        </w:rPr>
      </w:pPr>
    </w:p>
    <w:p w14:paraId="6DFC8F1B"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14:paraId="0D0AFBA4" w14:textId="77777777" w:rsidR="008B2650" w:rsidRDefault="008B2650" w:rsidP="008B2650">
      <w:pPr>
        <w:pStyle w:val="NoSpacing"/>
        <w:shd w:val="clear" w:color="auto" w:fill="FBD4B4" w:themeFill="accent6" w:themeFillTint="66"/>
        <w:jc w:val="both"/>
        <w:rPr>
          <w:rFonts w:ascii="Arial Narrow" w:hAnsi="Arial Narrow"/>
        </w:rPr>
      </w:pPr>
    </w:p>
    <w:p w14:paraId="79648D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219E1FE5" w14:textId="77777777" w:rsidR="008B2650" w:rsidRDefault="008B2650" w:rsidP="008B2650">
      <w:pPr>
        <w:pStyle w:val="NoSpacing"/>
        <w:shd w:val="clear" w:color="auto" w:fill="FBD4B4" w:themeFill="accent6" w:themeFillTint="66"/>
        <w:jc w:val="both"/>
        <w:rPr>
          <w:rFonts w:ascii="Arial Narrow" w:hAnsi="Arial Narrow"/>
          <w:i/>
        </w:rPr>
      </w:pPr>
    </w:p>
    <w:p w14:paraId="4A3A4977"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14:paraId="392139B1" w14:textId="77777777" w:rsidR="008B2650" w:rsidRDefault="008B2650" w:rsidP="008B2650">
      <w:pPr>
        <w:pStyle w:val="NoSpacing"/>
        <w:shd w:val="clear" w:color="auto" w:fill="FBD4B4" w:themeFill="accent6" w:themeFillTint="66"/>
        <w:jc w:val="both"/>
        <w:rPr>
          <w:rFonts w:ascii="Arial Narrow" w:hAnsi="Arial Narrow"/>
        </w:rPr>
      </w:pPr>
    </w:p>
    <w:p w14:paraId="4AAEFE83"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14:paraId="3666BECF" w14:textId="77777777" w:rsidR="008B2650" w:rsidRDefault="008B2650" w:rsidP="008B2650">
      <w:pPr>
        <w:pStyle w:val="NoSpacing"/>
        <w:shd w:val="clear" w:color="auto" w:fill="FBD4B4" w:themeFill="accent6" w:themeFillTint="66"/>
        <w:jc w:val="both"/>
        <w:rPr>
          <w:rFonts w:ascii="Arial Narrow" w:hAnsi="Arial Narrow"/>
          <w:i/>
        </w:rPr>
      </w:pPr>
    </w:p>
    <w:p w14:paraId="1EB2CF29"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14:paraId="4CC22811" w14:textId="77777777" w:rsidR="008B2650" w:rsidRDefault="008B2650" w:rsidP="008B2650">
      <w:pPr>
        <w:pStyle w:val="NoSpacing"/>
        <w:shd w:val="clear" w:color="auto" w:fill="FBD4B4" w:themeFill="accent6" w:themeFillTint="66"/>
        <w:jc w:val="both"/>
        <w:rPr>
          <w:rFonts w:ascii="Arial Narrow" w:hAnsi="Arial Narrow"/>
        </w:rPr>
      </w:pPr>
    </w:p>
    <w:p w14:paraId="4F87FBA7"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14:paraId="2ECE0997" w14:textId="77777777" w:rsidR="002D394A" w:rsidRDefault="002D394A" w:rsidP="00E02E49">
      <w:pPr>
        <w:autoSpaceDE w:val="0"/>
        <w:autoSpaceDN w:val="0"/>
        <w:adjustRightInd w:val="0"/>
        <w:spacing w:after="0" w:line="240" w:lineRule="auto"/>
        <w:jc w:val="both"/>
        <w:rPr>
          <w:rFonts w:ascii="Arial Narrow" w:hAnsi="Arial Narrow" w:cs="Arial"/>
          <w:b/>
        </w:rPr>
      </w:pPr>
    </w:p>
    <w:p w14:paraId="3152AA1E" w14:textId="77777777"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lastRenderedPageBreak/>
        <w:t>Employees covered by benefit terms</w:t>
      </w:r>
    </w:p>
    <w:p w14:paraId="4B550695" w14:textId="77777777" w:rsidR="00FE590E" w:rsidRDefault="00FE590E" w:rsidP="00E02E49">
      <w:pPr>
        <w:autoSpaceDE w:val="0"/>
        <w:autoSpaceDN w:val="0"/>
        <w:adjustRightInd w:val="0"/>
        <w:spacing w:after="0" w:line="240" w:lineRule="auto"/>
        <w:jc w:val="both"/>
        <w:rPr>
          <w:rFonts w:ascii="Arial Narrow" w:hAnsi="Arial Narrow" w:cs="Arial"/>
        </w:rPr>
      </w:pPr>
    </w:p>
    <w:p w14:paraId="17EA5920" w14:textId="22BBA9DA"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 xml:space="preserve">At the June 30, </w:t>
      </w:r>
      <w:proofErr w:type="gramStart"/>
      <w:r w:rsidRPr="009D1BDC">
        <w:rPr>
          <w:rFonts w:ascii="Arial Narrow" w:hAnsi="Arial Narrow" w:cs="Arial"/>
        </w:rPr>
        <w:t>20</w:t>
      </w:r>
      <w:r w:rsidR="00886A9D">
        <w:rPr>
          <w:rFonts w:ascii="Arial Narrow" w:hAnsi="Arial Narrow" w:cs="Arial"/>
        </w:rPr>
        <w:t>2</w:t>
      </w:r>
      <w:r w:rsidR="00CE10EF">
        <w:rPr>
          <w:rFonts w:ascii="Arial Narrow" w:hAnsi="Arial Narrow" w:cs="Arial"/>
        </w:rPr>
        <w:t>1</w:t>
      </w:r>
      <w:proofErr w:type="gramEnd"/>
      <w:r w:rsidRPr="009D1BDC">
        <w:rPr>
          <w:rFonts w:ascii="Arial Narrow" w:hAnsi="Arial Narrow" w:cs="Arial"/>
        </w:rPr>
        <w:t xml:space="preserve"> valuation date, the following employees were covered by the benefit terms:</w:t>
      </w:r>
    </w:p>
    <w:p w14:paraId="1469CFAF" w14:textId="77777777"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14:paraId="30CA3425" w14:textId="77777777" w:rsidTr="00421618">
        <w:trPr>
          <w:jc w:val="center"/>
        </w:trPr>
        <w:tc>
          <w:tcPr>
            <w:tcW w:w="2649" w:type="dxa"/>
          </w:tcPr>
          <w:p w14:paraId="3A5122C0"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14:paraId="55AEDFBD" w14:textId="77777777"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14:paraId="323795AC" w14:textId="77777777" w:rsidTr="00421618">
        <w:trPr>
          <w:jc w:val="center"/>
        </w:trPr>
        <w:tc>
          <w:tcPr>
            <w:tcW w:w="2649" w:type="dxa"/>
          </w:tcPr>
          <w:p w14:paraId="583F4B27"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14:paraId="0F32FD99" w14:textId="77777777"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14:paraId="32B03553" w14:textId="77777777" w:rsidTr="00421618">
        <w:trPr>
          <w:jc w:val="center"/>
        </w:trPr>
        <w:tc>
          <w:tcPr>
            <w:tcW w:w="2649" w:type="dxa"/>
          </w:tcPr>
          <w:p w14:paraId="1975BF1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14:paraId="553022B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14:paraId="66C70BA6" w14:textId="77777777" w:rsidTr="00421618">
        <w:trPr>
          <w:jc w:val="center"/>
        </w:trPr>
        <w:tc>
          <w:tcPr>
            <w:tcW w:w="2649" w:type="dxa"/>
          </w:tcPr>
          <w:p w14:paraId="2CFA742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14:paraId="1F464B6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bl>
    <w:p w14:paraId="7D16D4B7" w14:textId="77777777" w:rsidR="00803299" w:rsidRDefault="00803299" w:rsidP="00E02E49">
      <w:pPr>
        <w:autoSpaceDE w:val="0"/>
        <w:autoSpaceDN w:val="0"/>
        <w:adjustRightInd w:val="0"/>
        <w:spacing w:after="0" w:line="240" w:lineRule="auto"/>
        <w:jc w:val="both"/>
        <w:rPr>
          <w:rFonts w:ascii="Arial Narrow" w:hAnsi="Arial Narrow" w:cs="Arial"/>
          <w:b/>
        </w:rPr>
      </w:pPr>
    </w:p>
    <w:p w14:paraId="6FEB6285" w14:textId="202AFE37"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proofErr w:type="gramStart"/>
      <w:r w:rsidR="0022196E" w:rsidRPr="005B5F87">
        <w:rPr>
          <w:rFonts w:ascii="Arial Narrow" w:hAnsi="Arial Narrow"/>
          <w:highlight w:val="yellow"/>
        </w:rPr>
        <w:t>X,XXX</w:t>
      </w:r>
      <w:proofErr w:type="gramEnd"/>
      <w:r w:rsidR="0022196E" w:rsidRPr="005B5F87">
        <w:rPr>
          <w:rFonts w:ascii="Arial Narrow" w:hAnsi="Arial Narrow"/>
          <w:highlight w:val="yellow"/>
        </w:rPr>
        <w:t>,XXX</w:t>
      </w:r>
      <w:r w:rsidR="0022196E" w:rsidRPr="005B5F87">
        <w:rPr>
          <w:rFonts w:ascii="Arial Narrow" w:hAnsi="Arial Narrow"/>
        </w:rPr>
        <w:t xml:space="preserve"> in the year ended June 30, 20</w:t>
      </w:r>
      <w:r w:rsidR="00231CEE">
        <w:rPr>
          <w:rFonts w:ascii="Arial Narrow" w:hAnsi="Arial Narrow"/>
        </w:rPr>
        <w:t>2</w:t>
      </w:r>
      <w:r w:rsidR="00CE10EF">
        <w:rPr>
          <w:rFonts w:ascii="Arial Narrow" w:hAnsi="Arial Narrow"/>
        </w:rPr>
        <w:t>2</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14:paraId="342F73D7" w14:textId="77777777" w:rsidR="0022196E" w:rsidRPr="009D1BDC" w:rsidRDefault="0022196E" w:rsidP="00E02E49">
      <w:pPr>
        <w:autoSpaceDE w:val="0"/>
        <w:autoSpaceDN w:val="0"/>
        <w:adjustRightInd w:val="0"/>
        <w:spacing w:after="0" w:line="240" w:lineRule="auto"/>
        <w:jc w:val="both"/>
        <w:rPr>
          <w:rFonts w:ascii="Arial Narrow" w:hAnsi="Arial Narrow" w:cs="Arial"/>
        </w:rPr>
      </w:pPr>
    </w:p>
    <w:p w14:paraId="1B7BCBC2" w14:textId="4F82CB71"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 xml:space="preserve">he total pension liability was determined by actuarial valuations performed as of June 30, </w:t>
      </w:r>
      <w:proofErr w:type="gramStart"/>
      <w:r w:rsidR="00845A9F" w:rsidRPr="009D1BDC">
        <w:rPr>
          <w:rFonts w:ascii="Arial Narrow" w:hAnsi="Arial Narrow" w:cs="Arial"/>
        </w:rPr>
        <w:t>20</w:t>
      </w:r>
      <w:r w:rsidR="00CE10EF">
        <w:rPr>
          <w:rFonts w:ascii="Arial Narrow" w:hAnsi="Arial Narrow" w:cs="Arial"/>
        </w:rPr>
        <w:t>20</w:t>
      </w:r>
      <w:proofErr w:type="gramEnd"/>
      <w:r w:rsidR="002437E7">
        <w:rPr>
          <w:rFonts w:ascii="Arial Narrow" w:hAnsi="Arial Narrow" w:cs="Arial"/>
        </w:rPr>
        <w:t xml:space="preserve"> </w:t>
      </w:r>
      <w:r w:rsidR="00845A9F" w:rsidRPr="009D1BDC">
        <w:rPr>
          <w:rFonts w:ascii="Arial Narrow" w:hAnsi="Arial Narrow" w:cs="Arial"/>
        </w:rPr>
        <w:t>and rolled forward to June 30, 20</w:t>
      </w:r>
      <w:r w:rsidR="00886A9D">
        <w:rPr>
          <w:rFonts w:ascii="Arial Narrow" w:hAnsi="Arial Narrow" w:cs="Arial"/>
        </w:rPr>
        <w:t>2</w:t>
      </w:r>
      <w:r w:rsidR="00CE10EF">
        <w:rPr>
          <w:rFonts w:ascii="Arial Narrow" w:hAnsi="Arial Narrow" w:cs="Arial"/>
        </w:rPr>
        <w:t>1</w:t>
      </w:r>
      <w:r w:rsidR="00845A9F" w:rsidRPr="009D1BDC">
        <w:rPr>
          <w:rFonts w:ascii="Arial Narrow" w:hAnsi="Arial Narrow" w:cs="Arial"/>
        </w:rPr>
        <w:t>, using the following actuarial assumptions, applied to all periods included in the measurement.</w:t>
      </w:r>
    </w:p>
    <w:p w14:paraId="7744A458" w14:textId="77777777" w:rsidR="007A0EC1" w:rsidRDefault="007A0EC1" w:rsidP="007A0EC1">
      <w:pPr>
        <w:pStyle w:val="NoSpacing"/>
      </w:pPr>
    </w:p>
    <w:tbl>
      <w:tblPr>
        <w:tblStyle w:val="TableGrid"/>
        <w:tblW w:w="0" w:type="auto"/>
        <w:tblLook w:val="04A0" w:firstRow="1" w:lastRow="0" w:firstColumn="1" w:lastColumn="0" w:noHBand="0" w:noVBand="1"/>
      </w:tblPr>
      <w:tblGrid>
        <w:gridCol w:w="2497"/>
        <w:gridCol w:w="6853"/>
      </w:tblGrid>
      <w:tr w:rsidR="006C7C83" w:rsidRPr="009D1BDC" w14:paraId="50C9EF66" w14:textId="77777777" w:rsidTr="00E02E49">
        <w:tc>
          <w:tcPr>
            <w:tcW w:w="9576" w:type="dxa"/>
            <w:gridSpan w:val="2"/>
          </w:tcPr>
          <w:p w14:paraId="1F61C021" w14:textId="77777777"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14:paraId="041464B8" w14:textId="458E9ABF"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 xml:space="preserve">June 30, </w:t>
            </w:r>
            <w:proofErr w:type="gramStart"/>
            <w:r w:rsidRPr="009D1BDC">
              <w:rPr>
                <w:rFonts w:ascii="Arial Narrow" w:hAnsi="Arial Narrow"/>
                <w:b/>
                <w:sz w:val="22"/>
                <w:szCs w:val="22"/>
              </w:rPr>
              <w:t>20</w:t>
            </w:r>
            <w:r w:rsidR="00886A9D">
              <w:rPr>
                <w:rFonts w:ascii="Arial Narrow" w:hAnsi="Arial Narrow"/>
                <w:b/>
                <w:sz w:val="22"/>
                <w:szCs w:val="22"/>
              </w:rPr>
              <w:t>2</w:t>
            </w:r>
            <w:r w:rsidR="00CE10EF">
              <w:rPr>
                <w:rFonts w:ascii="Arial Narrow" w:hAnsi="Arial Narrow"/>
                <w:b/>
                <w:sz w:val="22"/>
                <w:szCs w:val="22"/>
              </w:rPr>
              <w:t>1</w:t>
            </w:r>
            <w:proofErr w:type="gramEnd"/>
            <w:r w:rsidR="003B65B3">
              <w:rPr>
                <w:rFonts w:ascii="Arial Narrow" w:hAnsi="Arial Narrow"/>
                <w:b/>
                <w:sz w:val="22"/>
                <w:szCs w:val="22"/>
              </w:rPr>
              <w:t xml:space="preserve"> measurement date (June 30, 20</w:t>
            </w:r>
            <w:r w:rsidR="00CE10EF">
              <w:rPr>
                <w:rFonts w:ascii="Arial Narrow" w:hAnsi="Arial Narrow"/>
                <w:b/>
                <w:sz w:val="22"/>
                <w:szCs w:val="22"/>
              </w:rPr>
              <w:t>20</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w:t>
            </w:r>
            <w:r w:rsidR="00886A9D">
              <w:rPr>
                <w:rFonts w:ascii="Arial Narrow" w:hAnsi="Arial Narrow"/>
                <w:b/>
                <w:sz w:val="22"/>
                <w:szCs w:val="22"/>
              </w:rPr>
              <w:t>2</w:t>
            </w:r>
            <w:r w:rsidR="00CE10EF">
              <w:rPr>
                <w:rFonts w:ascii="Arial Narrow" w:hAnsi="Arial Narrow"/>
                <w:b/>
                <w:sz w:val="22"/>
                <w:szCs w:val="22"/>
              </w:rPr>
              <w:t>1</w:t>
            </w:r>
            <w:r w:rsidR="003B65B3">
              <w:rPr>
                <w:rFonts w:ascii="Arial Narrow" w:hAnsi="Arial Narrow"/>
                <w:b/>
                <w:sz w:val="22"/>
                <w:szCs w:val="22"/>
              </w:rPr>
              <w:t>)</w:t>
            </w:r>
          </w:p>
          <w:p w14:paraId="1D689933" w14:textId="77777777" w:rsidR="00E02E49" w:rsidRPr="009D1BDC" w:rsidRDefault="00E02E49" w:rsidP="003B65B3">
            <w:pPr>
              <w:pStyle w:val="Default"/>
              <w:jc w:val="center"/>
              <w:rPr>
                <w:rFonts w:ascii="Arial Narrow" w:hAnsi="Arial Narrow"/>
                <w:b/>
                <w:sz w:val="22"/>
                <w:szCs w:val="22"/>
              </w:rPr>
            </w:pPr>
          </w:p>
        </w:tc>
      </w:tr>
      <w:tr w:rsidR="00CE10E5" w:rsidRPr="00906EAA" w14:paraId="6047FF44" w14:textId="77777777" w:rsidTr="00906EAA">
        <w:tc>
          <w:tcPr>
            <w:tcW w:w="2538" w:type="dxa"/>
          </w:tcPr>
          <w:p w14:paraId="6DF20CE5"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14:paraId="79E59C28" w14:textId="77777777" w:rsidR="00E02E49" w:rsidRPr="00906EAA" w:rsidRDefault="00E02E49" w:rsidP="00AB3B4B">
            <w:pPr>
              <w:jc w:val="both"/>
              <w:rPr>
                <w:rFonts w:ascii="Arial Narrow" w:hAnsi="Arial Narrow"/>
                <w:sz w:val="20"/>
                <w:szCs w:val="20"/>
              </w:rPr>
            </w:pPr>
          </w:p>
        </w:tc>
        <w:tc>
          <w:tcPr>
            <w:tcW w:w="7038" w:type="dxa"/>
          </w:tcPr>
          <w:p w14:paraId="78A4AB2E"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14:paraId="7F4ACE0F" w14:textId="77777777" w:rsidTr="00906EAA">
        <w:tc>
          <w:tcPr>
            <w:tcW w:w="2538" w:type="dxa"/>
          </w:tcPr>
          <w:p w14:paraId="4518C1C6"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14:paraId="61CE9C40" w14:textId="77777777" w:rsidR="00E02E49" w:rsidRPr="00906EAA" w:rsidRDefault="00E02E49" w:rsidP="00AB3B4B">
            <w:pPr>
              <w:jc w:val="both"/>
              <w:rPr>
                <w:rFonts w:ascii="Arial Narrow" w:hAnsi="Arial Narrow"/>
                <w:sz w:val="20"/>
                <w:szCs w:val="20"/>
              </w:rPr>
            </w:pPr>
          </w:p>
        </w:tc>
        <w:tc>
          <w:tcPr>
            <w:tcW w:w="7038" w:type="dxa"/>
          </w:tcPr>
          <w:p w14:paraId="4E4D1C7D"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14:paraId="35597478" w14:textId="77777777" w:rsidTr="00335527">
        <w:trPr>
          <w:trHeight w:val="404"/>
        </w:trPr>
        <w:tc>
          <w:tcPr>
            <w:tcW w:w="2538" w:type="dxa"/>
          </w:tcPr>
          <w:p w14:paraId="73D00FCE" w14:textId="77777777"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14:paraId="0FFB4381" w14:textId="77777777"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14:paraId="7E2D697A" w14:textId="77777777" w:rsidTr="00906EAA">
        <w:tc>
          <w:tcPr>
            <w:tcW w:w="2538" w:type="dxa"/>
          </w:tcPr>
          <w:p w14:paraId="43D5F9CF" w14:textId="77777777"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14:paraId="02DD485A"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14:paraId="73852B98" w14:textId="77777777" w:rsidTr="00906EAA">
        <w:tc>
          <w:tcPr>
            <w:tcW w:w="2538" w:type="dxa"/>
          </w:tcPr>
          <w:p w14:paraId="2F3463C9" w14:textId="77777777"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14:paraId="07E4E72C" w14:textId="6C8569E2"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w:t>
            </w:r>
            <w:r w:rsidR="00231CEE">
              <w:rPr>
                <w:rFonts w:ascii="Arial Narrow" w:hAnsi="Arial Narrow" w:cs="Arial"/>
                <w:sz w:val="20"/>
                <w:szCs w:val="20"/>
              </w:rPr>
              <w:t>2</w:t>
            </w:r>
            <w:r w:rsidRPr="00906EAA">
              <w:rPr>
                <w:rFonts w:ascii="Arial Narrow" w:hAnsi="Arial Narrow" w:cs="Arial"/>
                <w:sz w:val="20"/>
                <w:szCs w:val="20"/>
              </w:rPr>
              <w:t>5</w:t>
            </w:r>
            <w:proofErr w:type="gramStart"/>
            <w:r w:rsidRPr="00906EAA">
              <w:rPr>
                <w:rFonts w:ascii="Arial Narrow" w:hAnsi="Arial Narrow" w:cs="Arial"/>
                <w:sz w:val="20"/>
                <w:szCs w:val="20"/>
              </w:rPr>
              <w:t>%</w:t>
            </w:r>
            <w:r w:rsidR="00335527">
              <w:rPr>
                <w:rFonts w:ascii="Arial Narrow" w:hAnsi="Arial Narrow" w:cs="Arial"/>
                <w:sz w:val="20"/>
                <w:szCs w:val="20"/>
              </w:rPr>
              <w:t xml:space="preserve"> ;</w:t>
            </w:r>
            <w:proofErr w:type="gramEnd"/>
            <w:r w:rsidR="00335527">
              <w:rPr>
                <w:rFonts w:ascii="Arial Narrow" w:hAnsi="Arial Narrow" w:cs="Arial"/>
                <w:sz w:val="20"/>
                <w:szCs w:val="20"/>
              </w:rPr>
              <w:t xml:space="preserve">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14:paraId="375EEE60" w14:textId="77777777" w:rsidTr="00906EAA">
        <w:tc>
          <w:tcPr>
            <w:tcW w:w="2538" w:type="dxa"/>
          </w:tcPr>
          <w:p w14:paraId="56E6514A" w14:textId="77777777"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14:paraId="5CC97373"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14:paraId="53433ABE" w14:textId="77777777" w:rsidTr="00335527">
        <w:tc>
          <w:tcPr>
            <w:tcW w:w="2538" w:type="dxa"/>
          </w:tcPr>
          <w:p w14:paraId="4FEBAC6B"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14:paraId="1F427305" w14:textId="26DFED4C" w:rsidR="00431067" w:rsidRPr="00886A9D" w:rsidRDefault="00886A9D" w:rsidP="00886A9D">
            <w:pPr>
              <w:pStyle w:val="CM28"/>
              <w:spacing w:after="240" w:line="240" w:lineRule="atLeast"/>
              <w:ind w:right="162"/>
              <w:jc w:val="both"/>
              <w:rPr>
                <w:rFonts w:ascii="Arial Narrow" w:hAnsi="Arial Narrow" w:cs="Arial"/>
                <w:sz w:val="20"/>
                <w:szCs w:val="20"/>
              </w:rPr>
            </w:pPr>
            <w:r w:rsidRPr="00886A9D">
              <w:rPr>
                <w:rFonts w:ascii="Arial Narrow" w:hAnsi="Arial Narrow" w:cs="Arial"/>
                <w:sz w:val="20"/>
                <w:szCs w:val="20"/>
              </w:rPr>
              <w:t>Mortality – Variants of the PUB (10) Tables for Healthy and Disabled Retirees, projected with Scale Ultimate MP16.</w:t>
            </w:r>
          </w:p>
        </w:tc>
      </w:tr>
      <w:tr w:rsidR="00431067" w:rsidRPr="00906EAA" w14:paraId="1FA2D849" w14:textId="77777777" w:rsidTr="00906EAA">
        <w:tc>
          <w:tcPr>
            <w:tcW w:w="2538" w:type="dxa"/>
          </w:tcPr>
          <w:p w14:paraId="55316024"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14:paraId="62422C1A" w14:textId="08B7DF4F" w:rsidR="00431067" w:rsidRPr="00231CEE" w:rsidRDefault="00231CEE" w:rsidP="00231CEE">
            <w:pPr>
              <w:pStyle w:val="CM28"/>
              <w:spacing w:after="240" w:line="240" w:lineRule="atLeast"/>
              <w:ind w:right="162"/>
              <w:jc w:val="both"/>
              <w:rPr>
                <w:rFonts w:ascii="Arial Narrow" w:hAnsi="Arial Narrow" w:cs="Arial"/>
                <w:sz w:val="20"/>
                <w:szCs w:val="20"/>
              </w:rPr>
            </w:pPr>
            <w:r w:rsidRPr="00231CEE">
              <w:rPr>
                <w:rFonts w:ascii="Arial Narrow" w:hAnsi="Arial Narrow" w:cs="Arial"/>
                <w:sz w:val="20"/>
                <w:szCs w:val="20"/>
              </w:rPr>
              <w:t xml:space="preserve">The known COLA for certain MERS units in calendar years 2019 and 2020 were 1.86% and 1.56%, respectively, and this was reflected in the June 30, </w:t>
            </w:r>
            <w:proofErr w:type="gramStart"/>
            <w:r w:rsidRPr="00231CEE">
              <w:rPr>
                <w:rFonts w:ascii="Arial Narrow" w:hAnsi="Arial Narrow" w:cs="Arial"/>
                <w:sz w:val="20"/>
                <w:szCs w:val="20"/>
              </w:rPr>
              <w:t>2019</w:t>
            </w:r>
            <w:proofErr w:type="gramEnd"/>
            <w:r w:rsidRPr="00231CEE">
              <w:rPr>
                <w:rFonts w:ascii="Arial Narrow" w:hAnsi="Arial Narrow" w:cs="Arial"/>
                <w:sz w:val="20"/>
                <w:szCs w:val="20"/>
              </w:rPr>
              <w:t xml:space="preserve"> valuation.  All future COLAs were assumed to be 2.1% per annum for all MERS units with the COLA provision.</w:t>
            </w:r>
            <w:r>
              <w:rPr>
                <w:rFonts w:ascii="Arial Narrow" w:hAnsi="Arial Narrow" w:cs="Arial"/>
                <w:sz w:val="20"/>
                <w:szCs w:val="20"/>
              </w:rPr>
              <w:t xml:space="preserve"> </w:t>
            </w:r>
            <w:r w:rsidR="00431067" w:rsidRPr="00231CEE">
              <w:rPr>
                <w:rFonts w:ascii="Arial Narrow" w:hAnsi="Arial Narrow" w:cs="Arial"/>
                <w:sz w:val="20"/>
                <w:szCs w:val="20"/>
              </w:rPr>
              <w:t xml:space="preserve"> </w:t>
            </w:r>
          </w:p>
        </w:tc>
      </w:tr>
    </w:tbl>
    <w:p w14:paraId="45501F24" w14:textId="77777777" w:rsidR="00534354" w:rsidRDefault="00534354" w:rsidP="00DB223B">
      <w:pPr>
        <w:tabs>
          <w:tab w:val="left" w:pos="720"/>
        </w:tabs>
        <w:spacing w:after="0" w:line="240" w:lineRule="auto"/>
        <w:jc w:val="both"/>
        <w:rPr>
          <w:rFonts w:ascii="Arial Narrow" w:eastAsia="Times New Roman" w:hAnsi="Arial Narrow" w:cs="Arial"/>
        </w:rPr>
      </w:pPr>
    </w:p>
    <w:p w14:paraId="2DC791E1" w14:textId="71E29F9F"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June 30, </w:t>
      </w:r>
      <w:proofErr w:type="gramStart"/>
      <w:r w:rsidRPr="00F21195">
        <w:rPr>
          <w:rFonts w:ascii="Arial Narrow" w:eastAsia="Times New Roman" w:hAnsi="Arial Narrow" w:cs="Arial"/>
        </w:rPr>
        <w:t>20</w:t>
      </w:r>
      <w:r w:rsidR="00CE10EF">
        <w:rPr>
          <w:rFonts w:ascii="Arial Narrow" w:eastAsia="Times New Roman" w:hAnsi="Arial Narrow" w:cs="Arial"/>
        </w:rPr>
        <w:t>20</w:t>
      </w:r>
      <w:proofErr w:type="gramEnd"/>
      <w:r w:rsidRPr="00F21195">
        <w:rPr>
          <w:rFonts w:ascii="Arial Narrow" w:eastAsia="Times New Roman" w:hAnsi="Arial Narrow" w:cs="Arial"/>
        </w:rPr>
        <w:t xml:space="preserve"> valuation rolled forward to June 30, 20</w:t>
      </w:r>
      <w:r w:rsidR="00886A9D">
        <w:rPr>
          <w:rFonts w:ascii="Arial Narrow" w:eastAsia="Times New Roman" w:hAnsi="Arial Narrow" w:cs="Arial"/>
        </w:rPr>
        <w:t>2</w:t>
      </w:r>
      <w:r w:rsidR="00CE10EF">
        <w:rPr>
          <w:rFonts w:ascii="Arial Narrow" w:eastAsia="Times New Roman" w:hAnsi="Arial Narrow" w:cs="Arial"/>
        </w:rPr>
        <w:t>1</w:t>
      </w:r>
      <w:r w:rsidRPr="00F21195">
        <w:rPr>
          <w:rFonts w:ascii="Arial Narrow" w:eastAsia="Times New Roman" w:hAnsi="Arial Narrow" w:cs="Arial"/>
        </w:rPr>
        <w:t xml:space="preserve"> and the calculation of the total pension liability at June 30, 20</w:t>
      </w:r>
      <w:r w:rsidR="00886A9D">
        <w:rPr>
          <w:rFonts w:ascii="Arial Narrow" w:eastAsia="Times New Roman" w:hAnsi="Arial Narrow" w:cs="Arial"/>
        </w:rPr>
        <w:t>2</w:t>
      </w:r>
      <w:r w:rsidR="00CE10EF">
        <w:rPr>
          <w:rFonts w:ascii="Arial Narrow" w:eastAsia="Times New Roman" w:hAnsi="Arial Narrow" w:cs="Arial"/>
        </w:rPr>
        <w:t>1</w:t>
      </w:r>
      <w:r w:rsidR="003D013D">
        <w:rPr>
          <w:rFonts w:ascii="Arial Narrow" w:eastAsia="Times New Roman" w:hAnsi="Arial Narrow" w:cs="Arial"/>
        </w:rPr>
        <w:t xml:space="preserve"> </w:t>
      </w:r>
      <w:r w:rsidRPr="00F21195">
        <w:rPr>
          <w:rFonts w:ascii="Arial Narrow" w:eastAsia="Times New Roman" w:hAnsi="Arial Narrow" w:cs="Arial"/>
        </w:rPr>
        <w:t>were consistent with the results of an actuarial experience study performed as of June 30, 201</w:t>
      </w:r>
      <w:r w:rsidR="00886A9D">
        <w:rPr>
          <w:rFonts w:ascii="Arial Narrow" w:eastAsia="Times New Roman" w:hAnsi="Arial Narrow" w:cs="Arial"/>
        </w:rPr>
        <w:t>9</w:t>
      </w:r>
      <w:r w:rsidRPr="00F21195">
        <w:rPr>
          <w:rFonts w:ascii="Arial Narrow" w:eastAsia="Times New Roman" w:hAnsi="Arial Narrow" w:cs="Arial"/>
        </w:rPr>
        <w:t>.</w:t>
      </w:r>
    </w:p>
    <w:p w14:paraId="5C342A7F" w14:textId="77777777" w:rsidR="005372CE" w:rsidRDefault="005372CE" w:rsidP="005372CE">
      <w:pPr>
        <w:tabs>
          <w:tab w:val="left" w:pos="720"/>
        </w:tabs>
        <w:spacing w:after="0" w:line="240" w:lineRule="auto"/>
        <w:jc w:val="both"/>
        <w:rPr>
          <w:rFonts w:ascii="Arial Narrow" w:eastAsia="Times New Roman" w:hAnsi="Arial Narrow" w:cs="Arial"/>
        </w:rPr>
      </w:pPr>
    </w:p>
    <w:p w14:paraId="584F2818" w14:textId="4A41D2F6"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886A9D">
        <w:rPr>
          <w:rFonts w:ascii="Arial Narrow" w:eastAsia="Times New Roman" w:hAnsi="Arial Narrow" w:cs="Arial"/>
        </w:rPr>
        <w:t>9</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886A9D">
        <w:rPr>
          <w:rFonts w:ascii="Arial Narrow" w:eastAsia="Times New Roman" w:hAnsi="Arial Narrow" w:cs="Arial"/>
        </w:rPr>
        <w:t>2</w:t>
      </w:r>
      <w:r w:rsidR="00CE10EF">
        <w:rPr>
          <w:rFonts w:ascii="Arial Narrow" w:eastAsia="Times New Roman" w:hAnsi="Arial Narrow" w:cs="Arial"/>
        </w:rPr>
        <w:t>1</w:t>
      </w:r>
      <w:proofErr w:type="gramEnd"/>
      <w:r w:rsidR="00886A9D">
        <w:rPr>
          <w:rFonts w:ascii="Arial Narrow" w:eastAsia="Times New Roman" w:hAnsi="Arial Narrow" w:cs="Arial"/>
        </w:rPr>
        <w:t xml:space="preserve"> </w:t>
      </w:r>
      <w:r w:rsidRPr="006421AC">
        <w:rPr>
          <w:rFonts w:ascii="Arial Narrow" w:eastAsia="Times New Roman" w:hAnsi="Arial Narrow" w:cs="Arial"/>
        </w:rPr>
        <w:t>expected arithmetic returns over the long-term (20 years) by asset class are summarized in the following table:</w:t>
      </w:r>
    </w:p>
    <w:p w14:paraId="6FC21860" w14:textId="77777777" w:rsidR="005372CE" w:rsidRDefault="005372CE" w:rsidP="005372CE">
      <w:pPr>
        <w:tabs>
          <w:tab w:val="left" w:pos="720"/>
        </w:tabs>
        <w:spacing w:after="0" w:line="240" w:lineRule="auto"/>
        <w:jc w:val="both"/>
        <w:rPr>
          <w:rFonts w:ascii="Arial Narrow" w:eastAsia="Times New Roman" w:hAnsi="Arial Narrow" w:cs="Arial"/>
        </w:rPr>
      </w:pPr>
    </w:p>
    <w:p w14:paraId="042E1E27" w14:textId="426B9385" w:rsidR="00DB223B" w:rsidRDefault="00E90AAE" w:rsidP="005372CE">
      <w:pPr>
        <w:pStyle w:val="Default"/>
        <w:jc w:val="center"/>
      </w:pPr>
      <w:r w:rsidRPr="00E90AAE">
        <w:rPr>
          <w:noProof/>
        </w:rPr>
        <w:lastRenderedPageBreak/>
        <w:drawing>
          <wp:inline distT="0" distB="0" distL="0" distR="0" wp14:anchorId="57B27F95" wp14:editId="70DF5277">
            <wp:extent cx="3705225" cy="6353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6353175"/>
                    </a:xfrm>
                    <a:prstGeom prst="rect">
                      <a:avLst/>
                    </a:prstGeom>
                    <a:noFill/>
                    <a:ln>
                      <a:noFill/>
                    </a:ln>
                  </pic:spPr>
                </pic:pic>
              </a:graphicData>
            </a:graphic>
          </wp:inline>
        </w:drawing>
      </w:r>
    </w:p>
    <w:p w14:paraId="78477AA2" w14:textId="77777777" w:rsidR="00534354" w:rsidRPr="00417F0E" w:rsidRDefault="00534354" w:rsidP="00534354">
      <w:pPr>
        <w:tabs>
          <w:tab w:val="left" w:pos="720"/>
        </w:tabs>
        <w:spacing w:after="0" w:line="240" w:lineRule="auto"/>
        <w:jc w:val="center"/>
        <w:rPr>
          <w:rFonts w:ascii="Arial Narrow" w:eastAsia="Times New Roman" w:hAnsi="Arial Narrow" w:cs="Arial"/>
        </w:rPr>
      </w:pPr>
    </w:p>
    <w:p w14:paraId="69388918" w14:textId="77777777"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38F03B74" w14:textId="77777777" w:rsidR="00310995" w:rsidRDefault="00310995" w:rsidP="00AB3B4B">
      <w:pPr>
        <w:pStyle w:val="CM6"/>
        <w:jc w:val="both"/>
        <w:rPr>
          <w:rFonts w:ascii="Arial Narrow" w:hAnsi="Arial Narrow" w:cs="Arial"/>
          <w:b/>
          <w:sz w:val="22"/>
          <w:szCs w:val="22"/>
        </w:rPr>
      </w:pPr>
    </w:p>
    <w:p w14:paraId="7325B3E5" w14:textId="77777777"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A1A297C" w14:textId="77777777" w:rsidR="009912DD" w:rsidRDefault="009912DD" w:rsidP="009912DD">
      <w:pPr>
        <w:pStyle w:val="Default"/>
      </w:pPr>
    </w:p>
    <w:p w14:paraId="38E4B8CC" w14:textId="77777777" w:rsidR="009912DD" w:rsidRPr="009912DD" w:rsidRDefault="009912DD" w:rsidP="009912DD">
      <w:pPr>
        <w:pStyle w:val="Default"/>
      </w:pPr>
    </w:p>
    <w:p w14:paraId="08734178" w14:textId="77777777" w:rsidR="00335527" w:rsidRPr="00335527" w:rsidRDefault="00335527" w:rsidP="00335527">
      <w:pPr>
        <w:pStyle w:val="Default"/>
      </w:pPr>
    </w:p>
    <w:tbl>
      <w:tblPr>
        <w:tblStyle w:val="TableGrid"/>
        <w:tblW w:w="9576" w:type="dxa"/>
        <w:tblLook w:val="04A0" w:firstRow="1" w:lastRow="0" w:firstColumn="1" w:lastColumn="0" w:noHBand="0" w:noVBand="1"/>
      </w:tblPr>
      <w:tblGrid>
        <w:gridCol w:w="4338"/>
        <w:gridCol w:w="1980"/>
        <w:gridCol w:w="1800"/>
        <w:gridCol w:w="1458"/>
      </w:tblGrid>
      <w:tr w:rsidR="00906EAA" w:rsidRPr="00906EAA" w14:paraId="1336BB91" w14:textId="77777777" w:rsidTr="00906EAA">
        <w:tc>
          <w:tcPr>
            <w:tcW w:w="9576" w:type="dxa"/>
            <w:gridSpan w:val="4"/>
          </w:tcPr>
          <w:p w14:paraId="6D3B3395" w14:textId="77777777"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lastRenderedPageBreak/>
              <w:t>Changes in the Net Pension Liability (Asset)</w:t>
            </w:r>
          </w:p>
        </w:tc>
      </w:tr>
      <w:tr w:rsidR="00906EAA" w14:paraId="4C8A802D" w14:textId="77777777" w:rsidTr="00906EAA">
        <w:tc>
          <w:tcPr>
            <w:tcW w:w="4338" w:type="dxa"/>
          </w:tcPr>
          <w:p w14:paraId="35C65476" w14:textId="77777777"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14:paraId="14A301D8" w14:textId="77777777"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14:paraId="37A0E96B" w14:textId="77777777" w:rsidTr="00906EAA">
        <w:tc>
          <w:tcPr>
            <w:tcW w:w="4338" w:type="dxa"/>
          </w:tcPr>
          <w:p w14:paraId="78642DD6" w14:textId="77777777"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14:paraId="363F75BC"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14:paraId="3B94850A"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14:paraId="4BC09F02"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14:paraId="099C266F" w14:textId="77777777" w:rsidTr="00421618">
        <w:tc>
          <w:tcPr>
            <w:tcW w:w="4338" w:type="dxa"/>
          </w:tcPr>
          <w:p w14:paraId="3327719B" w14:textId="568AFEAB"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w:t>
            </w:r>
            <w:r w:rsidR="00CE10EF">
              <w:rPr>
                <w:rFonts w:ascii="Arial Narrow" w:hAnsi="Arial Narrow" w:cs="Arial"/>
                <w:color w:val="auto"/>
                <w:sz w:val="20"/>
                <w:szCs w:val="20"/>
              </w:rPr>
              <w:t>20</w:t>
            </w:r>
          </w:p>
        </w:tc>
        <w:tc>
          <w:tcPr>
            <w:tcW w:w="1980" w:type="dxa"/>
            <w:shd w:val="clear" w:color="auto" w:fill="FFFF00"/>
          </w:tcPr>
          <w:p w14:paraId="0B3E28F2"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AB57306"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E0AA657" w14:textId="77777777" w:rsidR="00352BEA" w:rsidRPr="00352BEA" w:rsidRDefault="00352BEA" w:rsidP="00AB3B4B">
            <w:pPr>
              <w:pStyle w:val="Default"/>
              <w:jc w:val="both"/>
              <w:rPr>
                <w:rFonts w:ascii="Arial Narrow" w:hAnsi="Arial Narrow" w:cs="Arial"/>
                <w:color w:val="auto"/>
                <w:sz w:val="20"/>
                <w:szCs w:val="20"/>
              </w:rPr>
            </w:pPr>
          </w:p>
        </w:tc>
      </w:tr>
      <w:tr w:rsidR="00352BEA" w14:paraId="720BE82A" w14:textId="77777777" w:rsidTr="00421618">
        <w:tc>
          <w:tcPr>
            <w:tcW w:w="4338" w:type="dxa"/>
          </w:tcPr>
          <w:p w14:paraId="467B2719" w14:textId="77777777"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14:paraId="7D97BB73"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0FF350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9A1DF9A" w14:textId="77777777" w:rsidR="00352BEA" w:rsidRPr="00352BEA" w:rsidRDefault="00352BEA" w:rsidP="00AB3B4B">
            <w:pPr>
              <w:pStyle w:val="Default"/>
              <w:jc w:val="both"/>
              <w:rPr>
                <w:rFonts w:ascii="Arial Narrow" w:hAnsi="Arial Narrow" w:cs="Arial"/>
                <w:color w:val="auto"/>
                <w:sz w:val="20"/>
                <w:szCs w:val="20"/>
              </w:rPr>
            </w:pPr>
          </w:p>
        </w:tc>
      </w:tr>
      <w:tr w:rsidR="00352BEA" w14:paraId="6637BD0C" w14:textId="77777777" w:rsidTr="00421618">
        <w:tc>
          <w:tcPr>
            <w:tcW w:w="4338" w:type="dxa"/>
          </w:tcPr>
          <w:p w14:paraId="4DD68F9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14:paraId="3B4E6E57"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AEBD01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39A6C40" w14:textId="77777777" w:rsidR="00352BEA" w:rsidRPr="00352BEA" w:rsidRDefault="00352BEA" w:rsidP="00AB3B4B">
            <w:pPr>
              <w:pStyle w:val="Default"/>
              <w:jc w:val="both"/>
              <w:rPr>
                <w:rFonts w:ascii="Arial Narrow" w:hAnsi="Arial Narrow" w:cs="Arial"/>
                <w:color w:val="auto"/>
                <w:sz w:val="20"/>
                <w:szCs w:val="20"/>
              </w:rPr>
            </w:pPr>
          </w:p>
        </w:tc>
      </w:tr>
      <w:tr w:rsidR="00352BEA" w14:paraId="1BBBC25F" w14:textId="77777777" w:rsidTr="00421618">
        <w:tc>
          <w:tcPr>
            <w:tcW w:w="4338" w:type="dxa"/>
          </w:tcPr>
          <w:p w14:paraId="035C617C"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14:paraId="0A1489A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0F1503D"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4A01112" w14:textId="77777777" w:rsidR="00352BEA" w:rsidRPr="00352BEA" w:rsidRDefault="00352BEA" w:rsidP="00AB3B4B">
            <w:pPr>
              <w:pStyle w:val="Default"/>
              <w:jc w:val="both"/>
              <w:rPr>
                <w:rFonts w:ascii="Arial Narrow" w:hAnsi="Arial Narrow" w:cs="Arial"/>
                <w:color w:val="auto"/>
                <w:sz w:val="20"/>
                <w:szCs w:val="20"/>
              </w:rPr>
            </w:pPr>
          </w:p>
        </w:tc>
      </w:tr>
      <w:tr w:rsidR="00352BEA" w14:paraId="77272CA6" w14:textId="77777777" w:rsidTr="00421618">
        <w:tc>
          <w:tcPr>
            <w:tcW w:w="4338" w:type="dxa"/>
          </w:tcPr>
          <w:p w14:paraId="0D1C8065"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14:paraId="197659E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643A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C31A22B" w14:textId="77777777" w:rsidR="00352BEA" w:rsidRPr="00352BEA" w:rsidRDefault="00352BEA" w:rsidP="00AB3B4B">
            <w:pPr>
              <w:pStyle w:val="Default"/>
              <w:jc w:val="both"/>
              <w:rPr>
                <w:rFonts w:ascii="Arial Narrow" w:hAnsi="Arial Narrow" w:cs="Arial"/>
                <w:color w:val="auto"/>
                <w:sz w:val="20"/>
                <w:szCs w:val="20"/>
              </w:rPr>
            </w:pPr>
          </w:p>
        </w:tc>
      </w:tr>
      <w:tr w:rsidR="00352BEA" w14:paraId="054202AD" w14:textId="77777777" w:rsidTr="00421618">
        <w:tc>
          <w:tcPr>
            <w:tcW w:w="4338" w:type="dxa"/>
          </w:tcPr>
          <w:p w14:paraId="34E8E52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14:paraId="65AACA2C"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41AFA1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9F9F53C" w14:textId="77777777" w:rsidR="00352BEA" w:rsidRPr="00352BEA" w:rsidRDefault="00352BEA" w:rsidP="00AB3B4B">
            <w:pPr>
              <w:pStyle w:val="Default"/>
              <w:jc w:val="both"/>
              <w:rPr>
                <w:rFonts w:ascii="Arial Narrow" w:hAnsi="Arial Narrow" w:cs="Arial"/>
                <w:color w:val="auto"/>
                <w:sz w:val="20"/>
                <w:szCs w:val="20"/>
              </w:rPr>
            </w:pPr>
          </w:p>
        </w:tc>
      </w:tr>
      <w:tr w:rsidR="00352BEA" w14:paraId="604BD66B" w14:textId="77777777" w:rsidTr="00421618">
        <w:tc>
          <w:tcPr>
            <w:tcW w:w="4338" w:type="dxa"/>
          </w:tcPr>
          <w:p w14:paraId="506D4E56"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14:paraId="0C63088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E4A9089"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D97B6C8" w14:textId="77777777" w:rsidR="00352BEA" w:rsidRPr="00352BEA" w:rsidRDefault="00352BEA" w:rsidP="00AB3B4B">
            <w:pPr>
              <w:pStyle w:val="Default"/>
              <w:jc w:val="both"/>
              <w:rPr>
                <w:rFonts w:ascii="Arial Narrow" w:hAnsi="Arial Narrow" w:cs="Arial"/>
                <w:color w:val="auto"/>
                <w:sz w:val="20"/>
                <w:szCs w:val="20"/>
              </w:rPr>
            </w:pPr>
          </w:p>
        </w:tc>
      </w:tr>
      <w:tr w:rsidR="00352BEA" w14:paraId="1295EB24" w14:textId="77777777" w:rsidTr="00421618">
        <w:tc>
          <w:tcPr>
            <w:tcW w:w="4338" w:type="dxa"/>
          </w:tcPr>
          <w:p w14:paraId="586DB6D0"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14:paraId="040B31A4"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3C7C1F8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0D1FAFA" w14:textId="77777777" w:rsidR="00352BEA" w:rsidRPr="00352BEA" w:rsidRDefault="00352BEA" w:rsidP="00AB3B4B">
            <w:pPr>
              <w:pStyle w:val="Default"/>
              <w:jc w:val="both"/>
              <w:rPr>
                <w:rFonts w:ascii="Arial Narrow" w:hAnsi="Arial Narrow" w:cs="Arial"/>
                <w:color w:val="auto"/>
                <w:sz w:val="20"/>
                <w:szCs w:val="20"/>
              </w:rPr>
            </w:pPr>
          </w:p>
        </w:tc>
      </w:tr>
      <w:tr w:rsidR="00352BEA" w14:paraId="75F004D9" w14:textId="77777777" w:rsidTr="00421618">
        <w:tc>
          <w:tcPr>
            <w:tcW w:w="4338" w:type="dxa"/>
          </w:tcPr>
          <w:p w14:paraId="1C6A7EE7"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14:paraId="3C93131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715006C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621B380" w14:textId="77777777" w:rsidR="00352BEA" w:rsidRPr="00352BEA" w:rsidRDefault="00352BEA" w:rsidP="00AB3B4B">
            <w:pPr>
              <w:pStyle w:val="Default"/>
              <w:jc w:val="both"/>
              <w:rPr>
                <w:rFonts w:ascii="Arial Narrow" w:hAnsi="Arial Narrow" w:cs="Arial"/>
                <w:color w:val="auto"/>
                <w:sz w:val="20"/>
                <w:szCs w:val="20"/>
              </w:rPr>
            </w:pPr>
          </w:p>
        </w:tc>
      </w:tr>
      <w:tr w:rsidR="00352BEA" w14:paraId="4AAC218D" w14:textId="77777777" w:rsidTr="00421618">
        <w:tc>
          <w:tcPr>
            <w:tcW w:w="4338" w:type="dxa"/>
          </w:tcPr>
          <w:p w14:paraId="13F6E063"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14:paraId="010AEAA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AD863A8"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A73E1D8" w14:textId="77777777" w:rsidR="00352BEA" w:rsidRPr="00352BEA" w:rsidRDefault="00352BEA" w:rsidP="00AB3B4B">
            <w:pPr>
              <w:pStyle w:val="Default"/>
              <w:jc w:val="both"/>
              <w:rPr>
                <w:rFonts w:ascii="Arial Narrow" w:hAnsi="Arial Narrow" w:cs="Arial"/>
                <w:color w:val="auto"/>
                <w:sz w:val="20"/>
                <w:szCs w:val="20"/>
              </w:rPr>
            </w:pPr>
          </w:p>
        </w:tc>
      </w:tr>
      <w:tr w:rsidR="00352BEA" w14:paraId="1497D315" w14:textId="77777777" w:rsidTr="00421618">
        <w:tc>
          <w:tcPr>
            <w:tcW w:w="4338" w:type="dxa"/>
          </w:tcPr>
          <w:p w14:paraId="48900D0B"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14:paraId="59512B4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9F5F2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B714CB1" w14:textId="77777777" w:rsidR="00352BEA" w:rsidRPr="00352BEA" w:rsidRDefault="00352BEA" w:rsidP="00AB3B4B">
            <w:pPr>
              <w:pStyle w:val="Default"/>
              <w:jc w:val="both"/>
              <w:rPr>
                <w:rFonts w:ascii="Arial Narrow" w:hAnsi="Arial Narrow" w:cs="Arial"/>
                <w:color w:val="auto"/>
                <w:sz w:val="20"/>
                <w:szCs w:val="20"/>
              </w:rPr>
            </w:pPr>
          </w:p>
        </w:tc>
      </w:tr>
      <w:tr w:rsidR="00352BEA" w14:paraId="14CB99AE" w14:textId="77777777" w:rsidTr="00421618">
        <w:tc>
          <w:tcPr>
            <w:tcW w:w="4338" w:type="dxa"/>
          </w:tcPr>
          <w:p w14:paraId="1F89899F"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14:paraId="7A716D0E"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71992F"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D0E9DE1" w14:textId="77777777" w:rsidR="00352BEA" w:rsidRPr="00352BEA" w:rsidRDefault="00352BEA" w:rsidP="00AB3B4B">
            <w:pPr>
              <w:pStyle w:val="Default"/>
              <w:jc w:val="both"/>
              <w:rPr>
                <w:rFonts w:ascii="Arial Narrow" w:hAnsi="Arial Narrow" w:cs="Arial"/>
                <w:color w:val="auto"/>
                <w:sz w:val="20"/>
                <w:szCs w:val="20"/>
              </w:rPr>
            </w:pPr>
          </w:p>
        </w:tc>
      </w:tr>
      <w:tr w:rsidR="00906EAA" w14:paraId="632B9D37" w14:textId="77777777" w:rsidTr="00421618">
        <w:tc>
          <w:tcPr>
            <w:tcW w:w="4338" w:type="dxa"/>
          </w:tcPr>
          <w:p w14:paraId="61D372FD" w14:textId="77777777"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14:paraId="07EF3865"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7F531E0E"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2B4F519" w14:textId="77777777" w:rsidR="00906EAA" w:rsidRPr="00352BEA" w:rsidRDefault="00906EAA" w:rsidP="00AB3B4B">
            <w:pPr>
              <w:pStyle w:val="Default"/>
              <w:jc w:val="both"/>
              <w:rPr>
                <w:rFonts w:ascii="Arial Narrow" w:hAnsi="Arial Narrow" w:cs="Arial"/>
                <w:color w:val="auto"/>
                <w:sz w:val="20"/>
                <w:szCs w:val="20"/>
              </w:rPr>
            </w:pPr>
          </w:p>
        </w:tc>
      </w:tr>
      <w:tr w:rsidR="00906EAA" w14:paraId="2DBE4460" w14:textId="77777777" w:rsidTr="00421618">
        <w:tc>
          <w:tcPr>
            <w:tcW w:w="4338" w:type="dxa"/>
          </w:tcPr>
          <w:p w14:paraId="1B3B3EB8" w14:textId="77777777"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14:paraId="4AE1D65C"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4E96621"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18FFF09C" w14:textId="77777777" w:rsidR="00906EAA" w:rsidRPr="00352BEA" w:rsidRDefault="00906EAA" w:rsidP="00AB3B4B">
            <w:pPr>
              <w:pStyle w:val="Default"/>
              <w:jc w:val="both"/>
              <w:rPr>
                <w:rFonts w:ascii="Arial Narrow" w:hAnsi="Arial Narrow" w:cs="Arial"/>
                <w:color w:val="auto"/>
                <w:sz w:val="20"/>
                <w:szCs w:val="20"/>
              </w:rPr>
            </w:pPr>
          </w:p>
        </w:tc>
      </w:tr>
      <w:tr w:rsidR="00906EAA" w14:paraId="4193BCE7" w14:textId="77777777" w:rsidTr="00421618">
        <w:tc>
          <w:tcPr>
            <w:tcW w:w="4338" w:type="dxa"/>
          </w:tcPr>
          <w:p w14:paraId="7751D716" w14:textId="3FE03C84"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w:t>
            </w:r>
            <w:r w:rsidR="00886A9D">
              <w:rPr>
                <w:rFonts w:ascii="Arial Narrow" w:hAnsi="Arial Narrow" w:cs="Arial"/>
                <w:color w:val="auto"/>
                <w:sz w:val="20"/>
                <w:szCs w:val="20"/>
              </w:rPr>
              <w:t>2</w:t>
            </w:r>
            <w:r w:rsidR="00CE10EF">
              <w:rPr>
                <w:rFonts w:ascii="Arial Narrow" w:hAnsi="Arial Narrow" w:cs="Arial"/>
                <w:color w:val="auto"/>
                <w:sz w:val="20"/>
                <w:szCs w:val="20"/>
              </w:rPr>
              <w:t>1</w:t>
            </w:r>
          </w:p>
        </w:tc>
        <w:tc>
          <w:tcPr>
            <w:tcW w:w="1980" w:type="dxa"/>
            <w:shd w:val="clear" w:color="auto" w:fill="FFFF00"/>
          </w:tcPr>
          <w:p w14:paraId="19B55A62"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D5930F3"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41B7C1D4" w14:textId="77777777" w:rsidR="00906EAA" w:rsidRPr="00352BEA" w:rsidRDefault="00906EAA" w:rsidP="00AB3B4B">
            <w:pPr>
              <w:pStyle w:val="Default"/>
              <w:jc w:val="both"/>
              <w:rPr>
                <w:rFonts w:ascii="Arial Narrow" w:hAnsi="Arial Narrow" w:cs="Arial"/>
                <w:color w:val="auto"/>
                <w:sz w:val="20"/>
                <w:szCs w:val="20"/>
              </w:rPr>
            </w:pPr>
          </w:p>
        </w:tc>
      </w:tr>
    </w:tbl>
    <w:p w14:paraId="5BC2D06B" w14:textId="77777777" w:rsidR="00352BEA" w:rsidRDefault="00352BEA" w:rsidP="00AB3B4B">
      <w:pPr>
        <w:pStyle w:val="Default"/>
        <w:jc w:val="both"/>
        <w:rPr>
          <w:rFonts w:ascii="Arial Narrow" w:hAnsi="Arial Narrow" w:cs="Arial"/>
          <w:color w:val="auto"/>
          <w:sz w:val="22"/>
          <w:szCs w:val="22"/>
        </w:rPr>
      </w:pPr>
    </w:p>
    <w:p w14:paraId="5BC2854A" w14:textId="77777777"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14:paraId="508061B7" w14:textId="77777777"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14:paraId="15F2CA7A" w14:textId="77777777" w:rsidTr="005D209E">
        <w:trPr>
          <w:jc w:val="center"/>
        </w:trPr>
        <w:tc>
          <w:tcPr>
            <w:tcW w:w="2160" w:type="dxa"/>
          </w:tcPr>
          <w:p w14:paraId="683190A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0875B71"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73CBD2C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D62A04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BAC4279"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1A7F0516"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14:paraId="362D7B26" w14:textId="77777777" w:rsidTr="005D209E">
        <w:trPr>
          <w:jc w:val="center"/>
        </w:trPr>
        <w:tc>
          <w:tcPr>
            <w:tcW w:w="2160" w:type="dxa"/>
            <w:shd w:val="clear" w:color="auto" w:fill="auto"/>
          </w:tcPr>
          <w:p w14:paraId="1E4E679D" w14:textId="77777777" w:rsidR="00804336" w:rsidRDefault="00804336" w:rsidP="005D209E">
            <w:pPr>
              <w:jc w:val="center"/>
              <w:rPr>
                <w:rFonts w:ascii="Arial Narrow" w:eastAsia="Times New Roman" w:hAnsi="Arial Narrow" w:cs="Arial"/>
                <w:b/>
                <w:sz w:val="20"/>
                <w:szCs w:val="20"/>
              </w:rPr>
            </w:pPr>
          </w:p>
        </w:tc>
        <w:tc>
          <w:tcPr>
            <w:tcW w:w="2316" w:type="dxa"/>
            <w:shd w:val="clear" w:color="auto" w:fill="auto"/>
          </w:tcPr>
          <w:p w14:paraId="40E9BBD7" w14:textId="77777777" w:rsidR="00804336" w:rsidRDefault="00804336" w:rsidP="005D209E">
            <w:pPr>
              <w:jc w:val="center"/>
              <w:rPr>
                <w:rFonts w:ascii="Arial Narrow" w:eastAsia="Times New Roman" w:hAnsi="Arial Narrow" w:cs="Arial"/>
                <w:b/>
                <w:sz w:val="20"/>
                <w:szCs w:val="20"/>
              </w:rPr>
            </w:pPr>
          </w:p>
        </w:tc>
        <w:tc>
          <w:tcPr>
            <w:tcW w:w="2094" w:type="dxa"/>
            <w:shd w:val="clear" w:color="auto" w:fill="auto"/>
          </w:tcPr>
          <w:p w14:paraId="61D7FDB9" w14:textId="77777777" w:rsidR="00804336" w:rsidRDefault="00804336" w:rsidP="005D209E">
            <w:pPr>
              <w:jc w:val="center"/>
              <w:rPr>
                <w:rFonts w:ascii="Arial Narrow" w:eastAsia="Times New Roman" w:hAnsi="Arial Narrow" w:cs="Arial"/>
                <w:b/>
                <w:sz w:val="20"/>
                <w:szCs w:val="20"/>
              </w:rPr>
            </w:pPr>
          </w:p>
        </w:tc>
      </w:tr>
    </w:tbl>
    <w:p w14:paraId="09DA2B96" w14:textId="77777777"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11C6D79C" w14:textId="77777777" w:rsidR="00505892" w:rsidRDefault="00505892" w:rsidP="00AA5039">
      <w:pPr>
        <w:tabs>
          <w:tab w:val="left" w:pos="720"/>
        </w:tabs>
        <w:spacing w:after="0" w:line="240" w:lineRule="auto"/>
        <w:jc w:val="both"/>
        <w:rPr>
          <w:rFonts w:ascii="Arial Narrow" w:eastAsia="Times New Roman" w:hAnsi="Arial Narrow" w:cs="Arial"/>
          <w:b/>
        </w:rPr>
      </w:pPr>
    </w:p>
    <w:p w14:paraId="144A4568" w14:textId="77777777"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0555012" w14:textId="77777777" w:rsidR="00AA5039" w:rsidRDefault="00AA5039" w:rsidP="00AB3B4B">
      <w:pPr>
        <w:pStyle w:val="Default"/>
        <w:jc w:val="both"/>
        <w:rPr>
          <w:rFonts w:ascii="Arial Narrow" w:hAnsi="Arial Narrow" w:cs="Arial"/>
          <w:b/>
          <w:color w:val="auto"/>
          <w:sz w:val="22"/>
          <w:szCs w:val="22"/>
        </w:rPr>
      </w:pPr>
    </w:p>
    <w:p w14:paraId="63ED793C" w14:textId="77777777"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14:paraId="2850E391" w14:textId="77777777" w:rsidR="001F4C86" w:rsidRPr="009D1BDC" w:rsidRDefault="001F4C86" w:rsidP="00AB3B4B">
      <w:pPr>
        <w:pStyle w:val="Default"/>
        <w:jc w:val="both"/>
        <w:rPr>
          <w:rFonts w:ascii="Arial Narrow" w:hAnsi="Arial Narrow" w:cs="Arial"/>
          <w:b/>
          <w:color w:val="auto"/>
          <w:sz w:val="22"/>
          <w:szCs w:val="22"/>
        </w:rPr>
      </w:pPr>
    </w:p>
    <w:p w14:paraId="423701B3" w14:textId="437DCAFB"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w:t>
      </w:r>
      <w:r w:rsidR="00D21084">
        <w:rPr>
          <w:rFonts w:ascii="Arial Narrow" w:hAnsi="Arial Narrow" w:cs="Arial"/>
          <w:sz w:val="22"/>
          <w:szCs w:val="22"/>
          <w:highlight w:val="yellow"/>
        </w:rPr>
        <w:t>2</w:t>
      </w:r>
      <w:r w:rsidR="00CE10EF">
        <w:rPr>
          <w:rFonts w:ascii="Arial Narrow" w:hAnsi="Arial Narrow" w:cs="Arial"/>
          <w:sz w:val="22"/>
          <w:szCs w:val="22"/>
          <w:highlight w:val="yellow"/>
        </w:rPr>
        <w:t>2</w:t>
      </w:r>
      <w:bookmarkStart w:id="0"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000000">
        <w:rPr>
          <w:rFonts w:ascii="Arial Narrow" w:hAnsi="Arial Narrow" w:cs="Arial"/>
          <w:sz w:val="22"/>
          <w:szCs w:val="22"/>
        </w:rPr>
      </w:r>
      <w:r w:rsidR="00000000">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proofErr w:type="gramStart"/>
      <w:r w:rsidR="003B65B3" w:rsidRPr="001F4C86">
        <w:rPr>
          <w:rFonts w:ascii="Arial Narrow" w:hAnsi="Arial Narrow" w:cs="Arial"/>
          <w:sz w:val="22"/>
          <w:szCs w:val="22"/>
          <w:highlight w:val="yellow"/>
        </w:rPr>
        <w:t>XXX,XXX</w:t>
      </w:r>
      <w:bookmarkStart w:id="1" w:name="Text_Field_30"/>
      <w:proofErr w:type="gramEnd"/>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000000">
        <w:rPr>
          <w:rFonts w:ascii="Arial Narrow" w:hAnsi="Arial Narrow" w:cs="Arial"/>
          <w:sz w:val="22"/>
          <w:szCs w:val="22"/>
        </w:rPr>
      </w:r>
      <w:r w:rsidR="00000000">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14:paraId="622A5176" w14:textId="77777777" w:rsidTr="00E2190D">
        <w:trPr>
          <w:jc w:val="center"/>
        </w:trPr>
        <w:tc>
          <w:tcPr>
            <w:tcW w:w="4680" w:type="dxa"/>
          </w:tcPr>
          <w:p w14:paraId="53490991" w14:textId="77777777" w:rsidR="006D6CC9" w:rsidRPr="009D1BDC" w:rsidRDefault="006D6CC9" w:rsidP="003E3D21">
            <w:pPr>
              <w:pStyle w:val="Default"/>
              <w:rPr>
                <w:rFonts w:ascii="Arial Narrow" w:hAnsi="Arial Narrow"/>
                <w:sz w:val="22"/>
                <w:szCs w:val="22"/>
              </w:rPr>
            </w:pPr>
          </w:p>
        </w:tc>
        <w:tc>
          <w:tcPr>
            <w:tcW w:w="1350" w:type="dxa"/>
          </w:tcPr>
          <w:p w14:paraId="3400DBD7"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14:paraId="1FFE8A9E" w14:textId="77777777" w:rsidR="00505892" w:rsidRDefault="00505892" w:rsidP="003E3D21">
            <w:pPr>
              <w:pStyle w:val="Default"/>
              <w:jc w:val="center"/>
              <w:rPr>
                <w:rFonts w:ascii="Arial Narrow" w:hAnsi="Arial Narrow"/>
                <w:sz w:val="22"/>
                <w:szCs w:val="22"/>
              </w:rPr>
            </w:pPr>
          </w:p>
          <w:p w14:paraId="03189C21"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14:paraId="1C78AE49" w14:textId="77777777" w:rsidTr="00E2190D">
        <w:trPr>
          <w:jc w:val="center"/>
        </w:trPr>
        <w:tc>
          <w:tcPr>
            <w:tcW w:w="4680" w:type="dxa"/>
          </w:tcPr>
          <w:p w14:paraId="0C8413E8" w14:textId="77777777" w:rsidR="00E2190D" w:rsidRPr="009D1BDC" w:rsidRDefault="00E2190D" w:rsidP="003E3D21">
            <w:pPr>
              <w:pStyle w:val="Default"/>
              <w:rPr>
                <w:rFonts w:ascii="Arial Narrow" w:hAnsi="Arial Narrow"/>
                <w:sz w:val="22"/>
                <w:szCs w:val="22"/>
              </w:rPr>
            </w:pPr>
            <w:r>
              <w:rPr>
                <w:rFonts w:ascii="Arial Narrow" w:hAnsi="Arial Narrow"/>
                <w:sz w:val="22"/>
                <w:szCs w:val="22"/>
              </w:rPr>
              <w:t>Contributions subsequent to the measurement date</w:t>
            </w:r>
          </w:p>
        </w:tc>
        <w:tc>
          <w:tcPr>
            <w:tcW w:w="1350" w:type="dxa"/>
            <w:shd w:val="clear" w:color="auto" w:fill="FFFF00"/>
          </w:tcPr>
          <w:p w14:paraId="41FC7550" w14:textId="77777777"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14:paraId="0D2D433A" w14:textId="77777777" w:rsidR="00E2190D" w:rsidRPr="003B65B3" w:rsidRDefault="00E2190D" w:rsidP="003B65B3">
            <w:pPr>
              <w:pStyle w:val="Default"/>
              <w:jc w:val="right"/>
              <w:rPr>
                <w:rFonts w:ascii="Arial Narrow" w:hAnsi="Arial Narrow"/>
                <w:sz w:val="22"/>
                <w:szCs w:val="22"/>
              </w:rPr>
            </w:pPr>
          </w:p>
        </w:tc>
      </w:tr>
      <w:tr w:rsidR="003F0B83" w:rsidRPr="009D1BDC" w14:paraId="34A5D7AF" w14:textId="77777777" w:rsidTr="00E2190D">
        <w:trPr>
          <w:jc w:val="center"/>
        </w:trPr>
        <w:tc>
          <w:tcPr>
            <w:tcW w:w="4680" w:type="dxa"/>
          </w:tcPr>
          <w:p w14:paraId="5CC2F26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14:paraId="3DDAF326"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14:paraId="13AED173" w14:textId="77777777"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14:paraId="03A7F556" w14:textId="77777777" w:rsidTr="00E2190D">
        <w:trPr>
          <w:jc w:val="center"/>
        </w:trPr>
        <w:tc>
          <w:tcPr>
            <w:tcW w:w="4680" w:type="dxa"/>
          </w:tcPr>
          <w:p w14:paraId="5950232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14:paraId="72623D93" w14:textId="77777777"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3DE13480"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26483702" w14:textId="77777777" w:rsidTr="00E2190D">
        <w:trPr>
          <w:jc w:val="center"/>
        </w:trPr>
        <w:tc>
          <w:tcPr>
            <w:tcW w:w="4680" w:type="dxa"/>
          </w:tcPr>
          <w:p w14:paraId="5D7B87C2"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14:paraId="6713FB0F"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049369A3"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08DA86E2" w14:textId="77777777" w:rsidTr="00E2190D">
        <w:trPr>
          <w:jc w:val="center"/>
        </w:trPr>
        <w:tc>
          <w:tcPr>
            <w:tcW w:w="4680" w:type="dxa"/>
          </w:tcPr>
          <w:p w14:paraId="3B730252" w14:textId="77777777"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14:paraId="462CDF47" w14:textId="77777777"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14:paraId="427E7851" w14:textId="77777777"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14:paraId="42753C35"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26938842" w14:textId="318477E6" w:rsidR="006D6CC9" w:rsidRDefault="006D6CC9" w:rsidP="00AB3B4B">
      <w:pPr>
        <w:pStyle w:val="Default"/>
        <w:jc w:val="both"/>
        <w:rPr>
          <w:rFonts w:ascii="Arial Narrow" w:hAnsi="Arial Narrow"/>
          <w:sz w:val="22"/>
          <w:szCs w:val="22"/>
        </w:rPr>
      </w:pPr>
    </w:p>
    <w:p w14:paraId="41F881D4" w14:textId="75998298" w:rsidR="00DC26DD" w:rsidRDefault="00DC26DD" w:rsidP="00AB3B4B">
      <w:pPr>
        <w:pStyle w:val="Default"/>
        <w:jc w:val="both"/>
        <w:rPr>
          <w:rFonts w:ascii="Arial Narrow" w:hAnsi="Arial Narrow"/>
          <w:sz w:val="22"/>
          <w:szCs w:val="22"/>
        </w:rPr>
      </w:pPr>
    </w:p>
    <w:p w14:paraId="1D340698" w14:textId="77777777" w:rsidR="00DC26DD" w:rsidRDefault="00DC26DD" w:rsidP="00AB3B4B">
      <w:pPr>
        <w:pStyle w:val="Default"/>
        <w:jc w:val="both"/>
        <w:rPr>
          <w:rFonts w:ascii="Arial Narrow" w:hAnsi="Arial Narrow"/>
          <w:sz w:val="22"/>
          <w:szCs w:val="22"/>
        </w:rPr>
      </w:pPr>
    </w:p>
    <w:p w14:paraId="04DF1F00" w14:textId="77777777"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$XXX,XXX</w:t>
      </w:r>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subsequent period.</w:t>
      </w:r>
    </w:p>
    <w:p w14:paraId="7EB5005D" w14:textId="77777777" w:rsidR="004704C2" w:rsidRDefault="004704C2" w:rsidP="00AB3B4B">
      <w:pPr>
        <w:pStyle w:val="Default"/>
        <w:jc w:val="both"/>
        <w:rPr>
          <w:rFonts w:ascii="Arial Narrow" w:hAnsi="Arial Narrow"/>
          <w:sz w:val="22"/>
          <w:szCs w:val="22"/>
        </w:rPr>
      </w:pPr>
    </w:p>
    <w:p w14:paraId="00DBE6ED" w14:textId="77777777"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lastRenderedPageBreak/>
        <w:t>The “Excess (Deficit) investment returns” should be reported as either Net Deferred Outflows or Net Deferred Inflows in accordance with GASB No. 68 par. 33b and 45h(3)</w:t>
      </w:r>
    </w:p>
    <w:p w14:paraId="0F36BE62" w14:textId="77777777" w:rsidR="00E2190D" w:rsidRDefault="00E2190D" w:rsidP="00AB3B4B">
      <w:pPr>
        <w:pStyle w:val="Default"/>
        <w:jc w:val="both"/>
        <w:rPr>
          <w:rFonts w:ascii="Arial Narrow" w:hAnsi="Arial Narrow"/>
          <w:sz w:val="22"/>
          <w:szCs w:val="22"/>
        </w:rPr>
      </w:pPr>
    </w:p>
    <w:p w14:paraId="24F88A4B" w14:textId="77777777" w:rsidR="004704C2" w:rsidRPr="009D1BDC" w:rsidRDefault="004704C2" w:rsidP="00AB3B4B">
      <w:pPr>
        <w:pStyle w:val="Default"/>
        <w:jc w:val="both"/>
        <w:rPr>
          <w:rFonts w:ascii="Arial Narrow" w:hAnsi="Arial Narrow"/>
          <w:sz w:val="22"/>
          <w:szCs w:val="22"/>
        </w:rPr>
      </w:pPr>
    </w:p>
    <w:p w14:paraId="6DDE1830" w14:textId="77777777"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14:paraId="732CF489" w14:textId="77777777" w:rsidTr="00FE590E">
        <w:trPr>
          <w:trHeight w:val="276"/>
          <w:jc w:val="center"/>
        </w:trPr>
        <w:tc>
          <w:tcPr>
            <w:tcW w:w="1049" w:type="dxa"/>
            <w:tcBorders>
              <w:bottom w:val="single" w:sz="4" w:space="0" w:color="auto"/>
            </w:tcBorders>
            <w:noWrap/>
            <w:hideMark/>
          </w:tcPr>
          <w:p w14:paraId="7C52EB6F" w14:textId="77777777"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14:paraId="141F0739" w14:textId="77777777"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14:paraId="0564DFF7" w14:textId="77777777"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14:paraId="09F0BA6F" w14:textId="77777777"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14:paraId="38300CCB" w14:textId="77777777" w:rsidTr="00FE590E">
        <w:trPr>
          <w:trHeight w:val="144"/>
          <w:jc w:val="center"/>
        </w:trPr>
        <w:tc>
          <w:tcPr>
            <w:tcW w:w="1049" w:type="dxa"/>
            <w:tcBorders>
              <w:top w:val="single" w:sz="4" w:space="0" w:color="auto"/>
            </w:tcBorders>
            <w:noWrap/>
            <w:hideMark/>
          </w:tcPr>
          <w:p w14:paraId="1EAE1F29" w14:textId="0C572854"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w:t>
            </w:r>
            <w:r w:rsidR="00CE10EF">
              <w:rPr>
                <w:rFonts w:ascii="Arial Narrow" w:hAnsi="Arial Narrow" w:cs="Arial"/>
                <w:sz w:val="22"/>
                <w:szCs w:val="22"/>
              </w:rPr>
              <w:t>3</w:t>
            </w:r>
          </w:p>
        </w:tc>
        <w:tc>
          <w:tcPr>
            <w:tcW w:w="265" w:type="dxa"/>
            <w:noWrap/>
            <w:hideMark/>
          </w:tcPr>
          <w:p w14:paraId="18EE373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14:paraId="05CA2D14"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57D31E21" w14:textId="77777777" w:rsidTr="00FE590E">
        <w:trPr>
          <w:trHeight w:val="144"/>
          <w:jc w:val="center"/>
        </w:trPr>
        <w:tc>
          <w:tcPr>
            <w:tcW w:w="1049" w:type="dxa"/>
            <w:noWrap/>
            <w:hideMark/>
          </w:tcPr>
          <w:p w14:paraId="266787E3" w14:textId="167F1FD1"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CE10EF">
              <w:rPr>
                <w:rFonts w:ascii="Arial Narrow" w:hAnsi="Arial Narrow" w:cs="Arial"/>
                <w:sz w:val="22"/>
                <w:szCs w:val="22"/>
              </w:rPr>
              <w:t>4</w:t>
            </w:r>
          </w:p>
        </w:tc>
        <w:tc>
          <w:tcPr>
            <w:tcW w:w="265" w:type="dxa"/>
            <w:noWrap/>
            <w:hideMark/>
          </w:tcPr>
          <w:p w14:paraId="6CD4D585"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C104926"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78EB6D3" w14:textId="77777777" w:rsidTr="00FE590E">
        <w:trPr>
          <w:trHeight w:val="144"/>
          <w:jc w:val="center"/>
        </w:trPr>
        <w:tc>
          <w:tcPr>
            <w:tcW w:w="1049" w:type="dxa"/>
            <w:noWrap/>
            <w:hideMark/>
          </w:tcPr>
          <w:p w14:paraId="5937C455" w14:textId="29F46D49"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CE10EF">
              <w:rPr>
                <w:rFonts w:ascii="Arial Narrow" w:hAnsi="Arial Narrow" w:cs="Arial"/>
                <w:sz w:val="22"/>
                <w:szCs w:val="22"/>
              </w:rPr>
              <w:t>5</w:t>
            </w:r>
          </w:p>
        </w:tc>
        <w:tc>
          <w:tcPr>
            <w:tcW w:w="265" w:type="dxa"/>
            <w:noWrap/>
            <w:hideMark/>
          </w:tcPr>
          <w:p w14:paraId="4B73E3BE"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7F4DB52"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58207CE" w14:textId="77777777" w:rsidTr="00FE590E">
        <w:trPr>
          <w:trHeight w:val="144"/>
          <w:jc w:val="center"/>
        </w:trPr>
        <w:tc>
          <w:tcPr>
            <w:tcW w:w="1049" w:type="dxa"/>
            <w:noWrap/>
            <w:hideMark/>
          </w:tcPr>
          <w:p w14:paraId="490894EB" w14:textId="327F7935"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CE10EF">
              <w:rPr>
                <w:rFonts w:ascii="Arial Narrow" w:hAnsi="Arial Narrow" w:cs="Arial"/>
                <w:sz w:val="22"/>
                <w:szCs w:val="22"/>
              </w:rPr>
              <w:t>6</w:t>
            </w:r>
          </w:p>
        </w:tc>
        <w:tc>
          <w:tcPr>
            <w:tcW w:w="265" w:type="dxa"/>
            <w:noWrap/>
            <w:hideMark/>
          </w:tcPr>
          <w:p w14:paraId="6945D429"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6E90C1A"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2CC385B" w14:textId="77777777" w:rsidTr="00FE590E">
        <w:trPr>
          <w:trHeight w:val="144"/>
          <w:jc w:val="center"/>
        </w:trPr>
        <w:tc>
          <w:tcPr>
            <w:tcW w:w="1049" w:type="dxa"/>
            <w:noWrap/>
            <w:hideMark/>
          </w:tcPr>
          <w:p w14:paraId="087232D2" w14:textId="1092D140"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CE10EF">
              <w:rPr>
                <w:rFonts w:ascii="Arial Narrow" w:hAnsi="Arial Narrow" w:cs="Arial"/>
                <w:sz w:val="22"/>
                <w:szCs w:val="22"/>
              </w:rPr>
              <w:t>7</w:t>
            </w:r>
          </w:p>
        </w:tc>
        <w:tc>
          <w:tcPr>
            <w:tcW w:w="265" w:type="dxa"/>
            <w:noWrap/>
            <w:hideMark/>
          </w:tcPr>
          <w:p w14:paraId="2014529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46B2574E" w14:textId="77777777"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A81D66" w:rsidRPr="009D1BDC" w14:paraId="60EB21E6" w14:textId="77777777" w:rsidTr="00FE590E">
        <w:trPr>
          <w:trHeight w:val="144"/>
          <w:jc w:val="center"/>
        </w:trPr>
        <w:tc>
          <w:tcPr>
            <w:tcW w:w="1049" w:type="dxa"/>
            <w:noWrap/>
          </w:tcPr>
          <w:p w14:paraId="2F9ADFEA" w14:textId="77777777"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14:paraId="638CDA37" w14:textId="77777777"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14:paraId="2D9C5164" w14:textId="77777777"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14:paraId="6C56E9F8" w14:textId="77777777" w:rsidTr="00FE590E">
        <w:trPr>
          <w:trHeight w:val="144"/>
          <w:jc w:val="center"/>
        </w:trPr>
        <w:tc>
          <w:tcPr>
            <w:tcW w:w="1049" w:type="dxa"/>
            <w:noWrap/>
            <w:hideMark/>
          </w:tcPr>
          <w:p w14:paraId="378053B7" w14:textId="77777777"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14:paraId="5118612E" w14:textId="77777777"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14:paraId="2F55096A" w14:textId="77777777"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14:paraId="5D5AAD5A"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7AB94303" w14:textId="77777777" w:rsidR="00701ECB" w:rsidRDefault="00701ECB" w:rsidP="00AB3B4B">
      <w:pPr>
        <w:pStyle w:val="CM19"/>
        <w:spacing w:after="85"/>
        <w:jc w:val="both"/>
        <w:rPr>
          <w:rFonts w:ascii="Arial Narrow" w:hAnsi="Arial Narrow" w:cs="Arial"/>
          <w:sz w:val="22"/>
          <w:szCs w:val="22"/>
        </w:rPr>
      </w:pPr>
    </w:p>
    <w:p w14:paraId="304CCAD1" w14:textId="77777777" w:rsidR="00804336" w:rsidRPr="00505892" w:rsidRDefault="00804336" w:rsidP="00505892">
      <w:pPr>
        <w:pStyle w:val="Default"/>
      </w:pPr>
    </w:p>
    <w:p w14:paraId="0D0D902A"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14:paraId="5C6065BC"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14:paraId="792BCC43"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04826EB" w14:textId="77777777"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14:paraId="0B09D38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13048078" w14:textId="77777777"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14:paraId="2EC12555" w14:textId="77777777" w:rsidR="00493D73" w:rsidRDefault="00493D73" w:rsidP="00493D73">
      <w:pPr>
        <w:pStyle w:val="Default"/>
      </w:pPr>
    </w:p>
    <w:p w14:paraId="42C1E806" w14:textId="77777777" w:rsidR="00FE590E" w:rsidRDefault="00FE590E">
      <w:pPr>
        <w:rPr>
          <w:rFonts w:ascii="Frutiger Neue LT Pro CnMedium" w:hAnsi="Frutiger Neue LT Pro CnMedium" w:cs="Frutiger Neue LT Pro CnMedium"/>
          <w:color w:val="000000"/>
          <w:sz w:val="24"/>
          <w:szCs w:val="24"/>
        </w:rPr>
      </w:pPr>
      <w:r>
        <w:br w:type="page"/>
      </w:r>
    </w:p>
    <w:p w14:paraId="23EF0639" w14:textId="77777777" w:rsidR="00493D73" w:rsidRDefault="00493D73" w:rsidP="00493D73">
      <w:pPr>
        <w:pStyle w:val="Default"/>
      </w:pPr>
    </w:p>
    <w:p w14:paraId="23CE7C98" w14:textId="77777777"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14:paraId="438E9C6C" w14:textId="77777777"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5113C6D5" w14:textId="77777777"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 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14:paraId="7EBFACEC" w14:textId="77777777" w:rsidR="00107FED" w:rsidRDefault="00107FED" w:rsidP="00107FED">
      <w:pPr>
        <w:pStyle w:val="NoSpacing"/>
        <w:jc w:val="both"/>
        <w:rPr>
          <w:rFonts w:ascii="Arial Narrow" w:hAnsi="Arial Narrow"/>
        </w:rPr>
      </w:pPr>
    </w:p>
    <w:p w14:paraId="1A59C7E2"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0155DD2E" w14:textId="77777777" w:rsidR="00107FED" w:rsidRDefault="00107FED" w:rsidP="00107FED">
      <w:pPr>
        <w:pStyle w:val="NoSpacing"/>
        <w:jc w:val="both"/>
        <w:rPr>
          <w:rFonts w:ascii="Arial Narrow" w:hAnsi="Arial Narrow"/>
        </w:rPr>
      </w:pPr>
    </w:p>
    <w:p w14:paraId="5612EA67" w14:textId="15FC2153"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w:t>
      </w:r>
      <w:r w:rsidR="00D21084">
        <w:rPr>
          <w:rFonts w:ascii="Arial Narrow" w:hAnsi="Arial Narrow"/>
        </w:rPr>
        <w:t>2</w:t>
      </w:r>
      <w:r w:rsidR="00CE10EF">
        <w:rPr>
          <w:rFonts w:ascii="Arial Narrow" w:hAnsi="Arial Narrow"/>
        </w:rPr>
        <w:t>2</w:t>
      </w:r>
      <w:r w:rsidRPr="00F2067B">
        <w:rPr>
          <w:rFonts w:ascii="Arial Narrow" w:hAnsi="Arial Narrow"/>
        </w:rPr>
        <w:t>.</w:t>
      </w:r>
    </w:p>
    <w:p w14:paraId="2EB75034" w14:textId="77777777" w:rsidR="00107FED" w:rsidRPr="00F2067B" w:rsidRDefault="00107FED" w:rsidP="00107FED">
      <w:pPr>
        <w:pStyle w:val="NoSpacing"/>
        <w:jc w:val="both"/>
        <w:rPr>
          <w:rFonts w:ascii="Arial Narrow" w:hAnsi="Arial Narrow"/>
        </w:rPr>
      </w:pPr>
    </w:p>
    <w:p w14:paraId="498CB794"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2"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14:paraId="366B76B1" w14:textId="77777777" w:rsidR="00493D73" w:rsidRDefault="00493D73" w:rsidP="00493D73">
      <w:pPr>
        <w:pStyle w:val="Default"/>
      </w:pPr>
    </w:p>
    <w:p w14:paraId="53B53A8B" w14:textId="77777777" w:rsidR="008B2650" w:rsidRDefault="008B2650" w:rsidP="00493D73">
      <w:pPr>
        <w:pStyle w:val="Default"/>
      </w:pPr>
    </w:p>
    <w:p w14:paraId="6A93C2F5" w14:textId="77777777"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14:paraId="7FD35258" w14:textId="77777777" w:rsidTr="00D81C13">
        <w:tc>
          <w:tcPr>
            <w:tcW w:w="288" w:type="dxa"/>
            <w:shd w:val="clear" w:color="auto" w:fill="FBD4B4" w:themeFill="accent6" w:themeFillTint="66"/>
          </w:tcPr>
          <w:p w14:paraId="41AB106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AA08892" w14:textId="77777777"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14:paraId="5BA42460"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14:paraId="431460D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14:paraId="03B54350" w14:textId="77777777" w:rsidTr="00D81C13">
        <w:tc>
          <w:tcPr>
            <w:tcW w:w="7127" w:type="dxa"/>
            <w:gridSpan w:val="2"/>
            <w:shd w:val="clear" w:color="auto" w:fill="FBD4B4" w:themeFill="accent6" w:themeFillTint="66"/>
          </w:tcPr>
          <w:p w14:paraId="690AF60C"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14:paraId="648E22C4" w14:textId="77777777"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14:paraId="3BD8B56F" w14:textId="77777777" w:rsidR="00D81C13" w:rsidRPr="00D81C13" w:rsidRDefault="00D81C13" w:rsidP="00D81C13">
            <w:pPr>
              <w:rPr>
                <w:rFonts w:ascii="Arial Narrow" w:hAnsi="Arial Narrow"/>
                <w:sz w:val="20"/>
                <w:szCs w:val="20"/>
              </w:rPr>
            </w:pPr>
          </w:p>
        </w:tc>
      </w:tr>
      <w:tr w:rsidR="00D81C13" w:rsidRPr="00D81C13" w14:paraId="525DDB4A" w14:textId="77777777" w:rsidTr="00D81C13">
        <w:tc>
          <w:tcPr>
            <w:tcW w:w="288" w:type="dxa"/>
            <w:shd w:val="clear" w:color="auto" w:fill="FBD4B4" w:themeFill="accent6" w:themeFillTint="66"/>
          </w:tcPr>
          <w:p w14:paraId="5BE3FB5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42D7FE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14:paraId="708FEE0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5CAC203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14:paraId="07176E5E" w14:textId="77777777" w:rsidTr="00D81C13">
        <w:tc>
          <w:tcPr>
            <w:tcW w:w="288" w:type="dxa"/>
            <w:shd w:val="clear" w:color="auto" w:fill="FBD4B4" w:themeFill="accent6" w:themeFillTint="66"/>
          </w:tcPr>
          <w:p w14:paraId="75B28DE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DF9F56F"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14:paraId="5949978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7747586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5858E7EB" w14:textId="77777777" w:rsidTr="00D81C13">
        <w:tc>
          <w:tcPr>
            <w:tcW w:w="288" w:type="dxa"/>
            <w:shd w:val="clear" w:color="auto" w:fill="FBD4B4" w:themeFill="accent6" w:themeFillTint="66"/>
          </w:tcPr>
          <w:p w14:paraId="28F1C4DF"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E1A65B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14:paraId="35BE15D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14:paraId="4CED49AF" w14:textId="77777777" w:rsidTr="00D81C13">
        <w:tc>
          <w:tcPr>
            <w:tcW w:w="7127" w:type="dxa"/>
            <w:gridSpan w:val="2"/>
            <w:shd w:val="clear" w:color="auto" w:fill="FBD4B4" w:themeFill="accent6" w:themeFillTint="66"/>
          </w:tcPr>
          <w:p w14:paraId="65C60427"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14:paraId="789A2794" w14:textId="77777777" w:rsidR="00D81C13" w:rsidRPr="00D81C13" w:rsidRDefault="00D81C13" w:rsidP="00D81C13">
            <w:pPr>
              <w:rPr>
                <w:rFonts w:ascii="Arial Narrow" w:hAnsi="Arial Narrow"/>
                <w:sz w:val="20"/>
                <w:szCs w:val="20"/>
              </w:rPr>
            </w:pPr>
          </w:p>
        </w:tc>
      </w:tr>
      <w:tr w:rsidR="00D81C13" w:rsidRPr="00D81C13" w14:paraId="2820F90E" w14:textId="77777777" w:rsidTr="00D81C13">
        <w:tc>
          <w:tcPr>
            <w:tcW w:w="288" w:type="dxa"/>
            <w:shd w:val="clear" w:color="auto" w:fill="FBD4B4" w:themeFill="accent6" w:themeFillTint="66"/>
          </w:tcPr>
          <w:p w14:paraId="46308E39"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FCCFDC4"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14:paraId="063038F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14:paraId="03066A1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14:paraId="3324F705" w14:textId="77777777" w:rsidTr="00D81C13">
        <w:tc>
          <w:tcPr>
            <w:tcW w:w="288" w:type="dxa"/>
            <w:shd w:val="clear" w:color="auto" w:fill="FBD4B4" w:themeFill="accent6" w:themeFillTint="66"/>
          </w:tcPr>
          <w:p w14:paraId="13FF5BD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6740C98"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14:paraId="6D13FED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14:paraId="00704C9C" w14:textId="77777777" w:rsidTr="00D81C13">
        <w:tc>
          <w:tcPr>
            <w:tcW w:w="288" w:type="dxa"/>
            <w:shd w:val="clear" w:color="auto" w:fill="FBD4B4" w:themeFill="accent6" w:themeFillTint="66"/>
          </w:tcPr>
          <w:p w14:paraId="2C253E2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BCF298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14:paraId="4577F595" w14:textId="77777777" w:rsidR="00D81C13" w:rsidRPr="00D81C13" w:rsidRDefault="00D81C13" w:rsidP="00D81C13">
            <w:pPr>
              <w:jc w:val="center"/>
              <w:rPr>
                <w:rFonts w:ascii="Arial Narrow" w:hAnsi="Arial Narrow"/>
                <w:sz w:val="20"/>
                <w:szCs w:val="20"/>
              </w:rPr>
            </w:pPr>
          </w:p>
          <w:p w14:paraId="2615260E"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1461A12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293DE110" w14:textId="77777777" w:rsidTr="00D81C13">
        <w:tc>
          <w:tcPr>
            <w:tcW w:w="288" w:type="dxa"/>
            <w:shd w:val="clear" w:color="auto" w:fill="FBD4B4" w:themeFill="accent6" w:themeFillTint="66"/>
          </w:tcPr>
          <w:p w14:paraId="6F379E50"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3C1524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14:paraId="6A7D8245"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6BFB782A"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14:paraId="1B50E06E" w14:textId="77777777" w:rsidTr="00D81C13">
        <w:tc>
          <w:tcPr>
            <w:tcW w:w="288" w:type="dxa"/>
            <w:shd w:val="clear" w:color="auto" w:fill="FBD4B4" w:themeFill="accent6" w:themeFillTint="66"/>
          </w:tcPr>
          <w:p w14:paraId="45EFFBC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299E5E5"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14:paraId="05154050" w14:textId="77777777"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14:paraId="08BEAB9D" w14:textId="77777777" w:rsidR="008B2650" w:rsidRDefault="008B2650" w:rsidP="00D81C13">
      <w:pPr>
        <w:pStyle w:val="Default"/>
      </w:pPr>
    </w:p>
    <w:p w14:paraId="15CA5CBC" w14:textId="77777777" w:rsidR="00107FED" w:rsidRDefault="00107FED" w:rsidP="00493D73">
      <w:pPr>
        <w:pStyle w:val="Default"/>
      </w:pPr>
    </w:p>
    <w:sectPr w:rsidR="00107FED" w:rsidSect="008B2650">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913A" w14:textId="77777777" w:rsidR="009A44E8" w:rsidRDefault="009A44E8" w:rsidP="001B57B0">
      <w:pPr>
        <w:spacing w:after="0" w:line="240" w:lineRule="auto"/>
      </w:pPr>
      <w:r>
        <w:separator/>
      </w:r>
    </w:p>
  </w:endnote>
  <w:endnote w:type="continuationSeparator" w:id="0">
    <w:p w14:paraId="6A6DFFE8" w14:textId="77777777" w:rsidR="009A44E8" w:rsidRDefault="009A44E8"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139B" w14:textId="77777777" w:rsidR="00886A9D" w:rsidRDefault="0088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894" w14:textId="277447C9" w:rsidR="001B57B0" w:rsidRPr="00CE10EF" w:rsidRDefault="00AB3B4B">
    <w:pPr>
      <w:pStyle w:val="Footer"/>
      <w:rPr>
        <w:rFonts w:ascii="Arial Narrow" w:hAnsi="Arial Narrow"/>
        <w:color w:val="E36C0A" w:themeColor="accent6" w:themeShade="BF"/>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CE10EF">
      <w:rPr>
        <w:rFonts w:ascii="Arial Narrow" w:hAnsi="Arial Narrow"/>
        <w:b/>
        <w:bCs/>
        <w:noProof/>
        <w:color w:val="E36C0A" w:themeColor="accent6" w:themeShade="BF"/>
      </w:rPr>
      <w:t>Updated for Fiscal 20</w:t>
    </w:r>
    <w:r w:rsidR="00D21084" w:rsidRPr="00CE10EF">
      <w:rPr>
        <w:rFonts w:ascii="Arial Narrow" w:hAnsi="Arial Narrow"/>
        <w:b/>
        <w:bCs/>
        <w:noProof/>
        <w:color w:val="E36C0A" w:themeColor="accent6" w:themeShade="BF"/>
      </w:rPr>
      <w:t>2</w:t>
    </w:r>
    <w:r w:rsidR="00CE10EF">
      <w:rPr>
        <w:rFonts w:ascii="Arial Narrow" w:hAnsi="Arial Narrow"/>
        <w:b/>
        <w:bCs/>
        <w:noProof/>
        <w:color w:val="E36C0A" w:themeColor="accent6" w:themeShade="BF"/>
      </w:rPr>
      <w:t>2</w:t>
    </w:r>
    <w:r w:rsidR="003D013D" w:rsidRPr="00CE10EF">
      <w:rPr>
        <w:rFonts w:ascii="Arial Narrow" w:hAnsi="Arial Narrow"/>
        <w:b/>
        <w:bCs/>
        <w:noProof/>
        <w:color w:val="E36C0A" w:themeColor="accent6" w:themeShade="BF"/>
      </w:rPr>
      <w:t xml:space="preserve"> employer financial reporting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1B5" w14:textId="77777777" w:rsidR="00886A9D" w:rsidRDefault="0088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D1E1" w14:textId="77777777" w:rsidR="009A44E8" w:rsidRDefault="009A44E8" w:rsidP="001B57B0">
      <w:pPr>
        <w:spacing w:after="0" w:line="240" w:lineRule="auto"/>
      </w:pPr>
      <w:r>
        <w:separator/>
      </w:r>
    </w:p>
  </w:footnote>
  <w:footnote w:type="continuationSeparator" w:id="0">
    <w:p w14:paraId="4186B1B9" w14:textId="77777777" w:rsidR="009A44E8" w:rsidRDefault="009A44E8" w:rsidP="001B5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A03" w14:textId="77777777" w:rsidR="00886A9D" w:rsidRDefault="00886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5CB" w14:textId="77777777" w:rsidR="00886A9D" w:rsidRDefault="00886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9DBA" w14:textId="77777777" w:rsidR="00886A9D" w:rsidRDefault="00886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992107">
    <w:abstractNumId w:val="1"/>
  </w:num>
  <w:num w:numId="2" w16cid:durableId="2058696165">
    <w:abstractNumId w:val="0"/>
  </w:num>
  <w:num w:numId="3" w16cid:durableId="1338000967">
    <w:abstractNumId w:val="2"/>
  </w:num>
  <w:num w:numId="4" w16cid:durableId="520046092">
    <w:abstractNumId w:val="4"/>
  </w:num>
  <w:num w:numId="5" w16cid:durableId="1675912374">
    <w:abstractNumId w:val="7"/>
  </w:num>
  <w:num w:numId="6" w16cid:durableId="1975714880">
    <w:abstractNumId w:val="3"/>
  </w:num>
  <w:num w:numId="7" w16cid:durableId="353187213">
    <w:abstractNumId w:val="8"/>
  </w:num>
  <w:num w:numId="8" w16cid:durableId="1941645518">
    <w:abstractNumId w:val="6"/>
  </w:num>
  <w:num w:numId="9" w16cid:durableId="1338390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35CD0"/>
    <w:rsid w:val="00091F2E"/>
    <w:rsid w:val="00095936"/>
    <w:rsid w:val="000C74CC"/>
    <w:rsid w:val="0010475A"/>
    <w:rsid w:val="00107FED"/>
    <w:rsid w:val="001112FA"/>
    <w:rsid w:val="00122AC9"/>
    <w:rsid w:val="00123C26"/>
    <w:rsid w:val="00133258"/>
    <w:rsid w:val="001449AE"/>
    <w:rsid w:val="001850E6"/>
    <w:rsid w:val="001A3AA1"/>
    <w:rsid w:val="001A66B6"/>
    <w:rsid w:val="001B57B0"/>
    <w:rsid w:val="001D19C2"/>
    <w:rsid w:val="001D603D"/>
    <w:rsid w:val="001E26D1"/>
    <w:rsid w:val="001F4C86"/>
    <w:rsid w:val="0022196E"/>
    <w:rsid w:val="00231CEE"/>
    <w:rsid w:val="00242B91"/>
    <w:rsid w:val="002437E7"/>
    <w:rsid w:val="00267110"/>
    <w:rsid w:val="0028189D"/>
    <w:rsid w:val="00294F9F"/>
    <w:rsid w:val="002A0282"/>
    <w:rsid w:val="002D394A"/>
    <w:rsid w:val="002D7A85"/>
    <w:rsid w:val="00303078"/>
    <w:rsid w:val="00310995"/>
    <w:rsid w:val="00335527"/>
    <w:rsid w:val="00352BEA"/>
    <w:rsid w:val="00367EEC"/>
    <w:rsid w:val="00376A4F"/>
    <w:rsid w:val="003B65B3"/>
    <w:rsid w:val="003D013D"/>
    <w:rsid w:val="003E3D21"/>
    <w:rsid w:val="003F0B83"/>
    <w:rsid w:val="00400433"/>
    <w:rsid w:val="00421618"/>
    <w:rsid w:val="00431067"/>
    <w:rsid w:val="0044063E"/>
    <w:rsid w:val="004704C2"/>
    <w:rsid w:val="00472B76"/>
    <w:rsid w:val="00477989"/>
    <w:rsid w:val="00493D73"/>
    <w:rsid w:val="004A704F"/>
    <w:rsid w:val="004B33D4"/>
    <w:rsid w:val="004C5B27"/>
    <w:rsid w:val="004E3220"/>
    <w:rsid w:val="00505892"/>
    <w:rsid w:val="00534354"/>
    <w:rsid w:val="005372CE"/>
    <w:rsid w:val="00545F0A"/>
    <w:rsid w:val="0058430E"/>
    <w:rsid w:val="00585C44"/>
    <w:rsid w:val="005A38E4"/>
    <w:rsid w:val="00645925"/>
    <w:rsid w:val="006539D0"/>
    <w:rsid w:val="00653F22"/>
    <w:rsid w:val="0065491D"/>
    <w:rsid w:val="0066339A"/>
    <w:rsid w:val="00682F26"/>
    <w:rsid w:val="006920F8"/>
    <w:rsid w:val="006A1034"/>
    <w:rsid w:val="006A5105"/>
    <w:rsid w:val="006C7C83"/>
    <w:rsid w:val="006D6CC9"/>
    <w:rsid w:val="006E4924"/>
    <w:rsid w:val="00701ECB"/>
    <w:rsid w:val="0071302A"/>
    <w:rsid w:val="00715259"/>
    <w:rsid w:val="0076337E"/>
    <w:rsid w:val="007A0EC1"/>
    <w:rsid w:val="007A4B90"/>
    <w:rsid w:val="007B2952"/>
    <w:rsid w:val="00803299"/>
    <w:rsid w:val="00804336"/>
    <w:rsid w:val="008456CB"/>
    <w:rsid w:val="00845A9F"/>
    <w:rsid w:val="00856764"/>
    <w:rsid w:val="00864781"/>
    <w:rsid w:val="00880ECA"/>
    <w:rsid w:val="00886A9D"/>
    <w:rsid w:val="008A3C8B"/>
    <w:rsid w:val="008A5C23"/>
    <w:rsid w:val="008B2650"/>
    <w:rsid w:val="00906EAA"/>
    <w:rsid w:val="00974764"/>
    <w:rsid w:val="009818FC"/>
    <w:rsid w:val="009912DD"/>
    <w:rsid w:val="009A2EA4"/>
    <w:rsid w:val="009A44E8"/>
    <w:rsid w:val="009D1BDC"/>
    <w:rsid w:val="00A1397E"/>
    <w:rsid w:val="00A81D66"/>
    <w:rsid w:val="00AA5039"/>
    <w:rsid w:val="00AB3B4B"/>
    <w:rsid w:val="00AB668F"/>
    <w:rsid w:val="00AD3D8D"/>
    <w:rsid w:val="00AD3E8C"/>
    <w:rsid w:val="00AE2748"/>
    <w:rsid w:val="00B04E67"/>
    <w:rsid w:val="00B204A4"/>
    <w:rsid w:val="00B2494E"/>
    <w:rsid w:val="00BB07EB"/>
    <w:rsid w:val="00BF59CF"/>
    <w:rsid w:val="00C129C8"/>
    <w:rsid w:val="00C16808"/>
    <w:rsid w:val="00C208A7"/>
    <w:rsid w:val="00C9692B"/>
    <w:rsid w:val="00CE10E5"/>
    <w:rsid w:val="00CE10EF"/>
    <w:rsid w:val="00CE1271"/>
    <w:rsid w:val="00D12C6E"/>
    <w:rsid w:val="00D21084"/>
    <w:rsid w:val="00D31E88"/>
    <w:rsid w:val="00D73F49"/>
    <w:rsid w:val="00D81C13"/>
    <w:rsid w:val="00DB223B"/>
    <w:rsid w:val="00DC26DD"/>
    <w:rsid w:val="00DC352E"/>
    <w:rsid w:val="00DC5023"/>
    <w:rsid w:val="00DD5CE7"/>
    <w:rsid w:val="00E02E49"/>
    <w:rsid w:val="00E040D3"/>
    <w:rsid w:val="00E10B18"/>
    <w:rsid w:val="00E2190D"/>
    <w:rsid w:val="00E33EBF"/>
    <w:rsid w:val="00E90AAE"/>
    <w:rsid w:val="00EB6ACF"/>
    <w:rsid w:val="00F15429"/>
    <w:rsid w:val="00F41221"/>
    <w:rsid w:val="00F4523D"/>
    <w:rsid w:val="00F554BD"/>
    <w:rsid w:val="00F67EE7"/>
    <w:rsid w:val="00F73EF3"/>
    <w:rsid w:val="00F904E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293E0"/>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 w:id="20168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sr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rsr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6" ma:contentTypeDescription="Create a new document." ma:contentTypeScope="" ma:versionID="5c56d52e8a2137e407dbba97e9bbbf1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d13d59e1fb818ef465eaee97a4ca9f6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DD35-E4FC-4C4B-8AAD-2C2FF0BA536C}">
  <ds:schemaRefs>
    <ds:schemaRef ds:uri="http://schemas.microsoft.com/sharepoint/v3/contenttype/forms"/>
  </ds:schemaRefs>
</ds:datastoreItem>
</file>

<file path=customXml/itemProps2.xml><?xml version="1.0" encoding="utf-8"?>
<ds:datastoreItem xmlns:ds="http://schemas.openxmlformats.org/officeDocument/2006/customXml" ds:itemID="{1E0F1578-DE16-4F25-ABC9-AA6242E49025}">
  <ds:schemaRefs>
    <ds:schemaRef ds:uri="http://schemas.openxmlformats.org/officeDocument/2006/bibliography"/>
  </ds:schemaRefs>
</ds:datastoreItem>
</file>

<file path=customXml/itemProps3.xml><?xml version="1.0" encoding="utf-8"?>
<ds:datastoreItem xmlns:ds="http://schemas.openxmlformats.org/officeDocument/2006/customXml" ds:itemID="{D581D4F8-5A76-4E15-A4C2-B96F57FE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Stacey Whitton</cp:lastModifiedBy>
  <cp:revision>58</cp:revision>
  <cp:lastPrinted>2015-11-03T23:11:00Z</cp:lastPrinted>
  <dcterms:created xsi:type="dcterms:W3CDTF">2015-06-19T17:44:00Z</dcterms:created>
  <dcterms:modified xsi:type="dcterms:W3CDTF">2022-08-23T21:52:00Z</dcterms:modified>
</cp:coreProperties>
</file>