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83"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56"/>
          <w:szCs w:val="56"/>
        </w:rPr>
      </w:pPr>
      <w:r w:rsidRPr="008C1133">
        <w:rPr>
          <w:rFonts w:ascii="Arial Narrow" w:hAnsi="Arial Narrow" w:cs="Arial"/>
          <w:b/>
          <w:sz w:val="56"/>
          <w:szCs w:val="56"/>
        </w:rPr>
        <w:t>TSB</w:t>
      </w:r>
      <w:r w:rsidR="00261E83">
        <w:rPr>
          <w:rFonts w:ascii="Arial Narrow" w:hAnsi="Arial Narrow" w:cs="Arial"/>
          <w:b/>
          <w:sz w:val="56"/>
          <w:szCs w:val="56"/>
        </w:rPr>
        <w:t xml:space="preserve">    </w:t>
      </w:r>
      <w:r w:rsidR="00261E83" w:rsidRPr="00417F0E">
        <w:rPr>
          <w:rFonts w:ascii="Arial Narrow" w:hAnsi="Arial Narrow" w:cs="Arial"/>
          <w:b/>
          <w:color w:val="984806" w:themeColor="accent6" w:themeShade="80"/>
          <w:sz w:val="32"/>
          <w:szCs w:val="32"/>
        </w:rPr>
        <w:t>(</w:t>
      </w:r>
      <w:r w:rsidR="00261E83">
        <w:rPr>
          <w:rFonts w:ascii="Arial Narrow" w:hAnsi="Arial Narrow" w:cs="Arial"/>
          <w:b/>
          <w:color w:val="984806" w:themeColor="accent6" w:themeShade="80"/>
          <w:sz w:val="32"/>
          <w:szCs w:val="32"/>
        </w:rPr>
        <w:t xml:space="preserve">updated for </w:t>
      </w:r>
      <w:r w:rsidR="00261E83" w:rsidRPr="00417F0E">
        <w:rPr>
          <w:rFonts w:ascii="Arial Narrow" w:hAnsi="Arial Narrow" w:cs="Arial"/>
          <w:b/>
          <w:color w:val="984806" w:themeColor="accent6" w:themeShade="80"/>
          <w:sz w:val="32"/>
          <w:szCs w:val="32"/>
        </w:rPr>
        <w:t>FY 2016 employer reporting)</w:t>
      </w:r>
    </w:p>
    <w:p w:rsidR="00147CB0" w:rsidRPr="00D43904"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4"/>
          <w:szCs w:val="24"/>
        </w:rPr>
      </w:pPr>
      <w:r w:rsidRPr="008C1133">
        <w:rPr>
          <w:rFonts w:ascii="Arial Narrow" w:hAnsi="Arial Narrow" w:cs="Arial"/>
          <w:b/>
          <w:u w:val="single"/>
        </w:rPr>
        <w:t xml:space="preserve">Proposed </w:t>
      </w:r>
      <w:r w:rsidR="00075E81" w:rsidRPr="008C1133">
        <w:rPr>
          <w:rFonts w:ascii="Arial Narrow" w:hAnsi="Arial Narrow" w:cs="Arial"/>
          <w:b/>
          <w:u w:val="single"/>
        </w:rPr>
        <w:t xml:space="preserve">Pension </w:t>
      </w:r>
      <w:r w:rsidR="00D30B01" w:rsidRPr="008C1133">
        <w:rPr>
          <w:rFonts w:ascii="Arial Narrow" w:hAnsi="Arial Narrow" w:cs="Arial"/>
          <w:b/>
          <w:u w:val="single"/>
        </w:rPr>
        <w:t xml:space="preserve">Note Disclosures – </w:t>
      </w:r>
      <w:r w:rsidR="008C1133">
        <w:rPr>
          <w:rFonts w:ascii="Arial Narrow" w:hAnsi="Arial Narrow" w:cs="Arial"/>
          <w:b/>
          <w:u w:val="single"/>
        </w:rPr>
        <w:t xml:space="preserve">TSB Employer </w:t>
      </w:r>
      <w:r w:rsidR="00D30B01" w:rsidRPr="008C1133">
        <w:rPr>
          <w:rFonts w:ascii="Arial Narrow" w:hAnsi="Arial Narrow" w:cs="Arial"/>
          <w:b/>
          <w:u w:val="single"/>
        </w:rPr>
        <w:t>Units</w:t>
      </w:r>
      <w:r w:rsidR="00147CB0" w:rsidRPr="008C1133">
        <w:rPr>
          <w:rFonts w:ascii="Arial Narrow" w:hAnsi="Arial Narrow" w:cs="Arial"/>
          <w:b/>
          <w:u w:val="single"/>
        </w:rPr>
        <w:t xml:space="preserve"> </w:t>
      </w:r>
      <w:r w:rsidR="00147CB0" w:rsidRPr="008C1133">
        <w:rPr>
          <w:rFonts w:ascii="Arial Narrow" w:hAnsi="Arial Narrow" w:cs="Arial"/>
          <w:b/>
        </w:rPr>
        <w:tab/>
      </w:r>
      <w:r w:rsidR="00F21195" w:rsidRPr="008C1133">
        <w:rPr>
          <w:rFonts w:ascii="Arial Narrow" w:hAnsi="Arial Narrow" w:cs="Arial"/>
          <w:b/>
        </w:rPr>
        <w:tab/>
      </w:r>
      <w:r w:rsidR="00A736ED" w:rsidRPr="008C1133">
        <w:rPr>
          <w:rFonts w:ascii="Arial Narrow" w:hAnsi="Arial Narrow" w:cs="Arial"/>
          <w:b/>
        </w:rPr>
        <w:t xml:space="preserve">  </w:t>
      </w:r>
      <w:r w:rsidR="00147CB0" w:rsidRPr="00D43904">
        <w:rPr>
          <w:rFonts w:ascii="Arial Narrow" w:hAnsi="Arial Narrow" w:cs="Arial"/>
          <w:b/>
          <w:sz w:val="24"/>
          <w:szCs w:val="24"/>
        </w:rPr>
        <w:t xml:space="preserve">Revised – OAG - </w:t>
      </w:r>
      <w:r w:rsidR="008C1133" w:rsidRPr="00D43904">
        <w:rPr>
          <w:rFonts w:ascii="Arial Narrow" w:hAnsi="Arial Narrow" w:cs="Arial"/>
          <w:b/>
          <w:sz w:val="24"/>
          <w:szCs w:val="24"/>
        </w:rPr>
        <w:t>1</w:t>
      </w:r>
      <w:r w:rsidR="00261E83">
        <w:rPr>
          <w:rFonts w:ascii="Arial Narrow" w:hAnsi="Arial Narrow" w:cs="Arial"/>
          <w:b/>
          <w:sz w:val="24"/>
          <w:szCs w:val="24"/>
        </w:rPr>
        <w:t>0</w:t>
      </w:r>
      <w:r w:rsidR="00147CB0" w:rsidRPr="00D43904">
        <w:rPr>
          <w:rFonts w:ascii="Arial Narrow" w:hAnsi="Arial Narrow" w:cs="Arial"/>
          <w:b/>
          <w:sz w:val="24"/>
          <w:szCs w:val="24"/>
        </w:rPr>
        <w:t>-</w:t>
      </w:r>
      <w:r w:rsidR="00A31B1C">
        <w:rPr>
          <w:rFonts w:ascii="Arial Narrow" w:hAnsi="Arial Narrow" w:cs="Arial"/>
          <w:b/>
          <w:sz w:val="24"/>
          <w:szCs w:val="24"/>
        </w:rPr>
        <w:t>2</w:t>
      </w:r>
      <w:r w:rsidR="0069703A">
        <w:rPr>
          <w:rFonts w:ascii="Arial Narrow" w:hAnsi="Arial Narrow" w:cs="Arial"/>
          <w:b/>
          <w:sz w:val="24"/>
          <w:szCs w:val="24"/>
        </w:rPr>
        <w:t>6</w:t>
      </w:r>
      <w:r w:rsidR="00147CB0" w:rsidRPr="00D43904">
        <w:rPr>
          <w:rFonts w:ascii="Arial Narrow" w:hAnsi="Arial Narrow" w:cs="Arial"/>
          <w:b/>
          <w:sz w:val="24"/>
          <w:szCs w:val="24"/>
        </w:rPr>
        <w:t>-201</w:t>
      </w:r>
      <w:r w:rsidR="00261E83">
        <w:rPr>
          <w:rFonts w:ascii="Arial Narrow" w:hAnsi="Arial Narrow" w:cs="Arial"/>
          <w:b/>
          <w:sz w:val="24"/>
          <w:szCs w:val="24"/>
        </w:rPr>
        <w:t>6</w:t>
      </w:r>
    </w:p>
    <w:p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rsidR="008C1133" w:rsidRDefault="008C1133">
      <w:pPr>
        <w:rPr>
          <w:rFonts w:ascii="Arial Narrow" w:hAnsi="Arial Narrow" w:cs="Arial"/>
          <w:b/>
          <w:i/>
          <w:color w:val="548DD4" w:themeColor="text2" w:themeTint="99"/>
          <w:sz w:val="18"/>
          <w:szCs w:val="18"/>
          <w:u w:val="single"/>
        </w:rPr>
      </w:pP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 xml:space="preserve">For purposes of measuring the net pension liability,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8"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A32A3C">
      <w:pPr>
        <w:pStyle w:val="NoSpacing"/>
      </w:pPr>
    </w:p>
    <w:p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rsidTr="00A32A3C">
        <w:trPr>
          <w:jc w:val="center"/>
        </w:trPr>
        <w:tc>
          <w:tcPr>
            <w:tcW w:w="2183" w:type="dxa"/>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Basic Monthly</w:t>
            </w:r>
          </w:p>
          <w:p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750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875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$ 1,000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$ 1,125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$ 1,250</w:t>
            </w:r>
          </w:p>
        </w:tc>
      </w:tr>
    </w:tbl>
    <w:p w:rsidR="00A32A3C" w:rsidRPr="00A32A3C" w:rsidRDefault="00A32A3C" w:rsidP="00A32A3C">
      <w:pPr>
        <w:rPr>
          <w:rFonts w:ascii="Arial Narrow" w:hAnsi="Arial Narrow"/>
          <w:sz w:val="23"/>
          <w:szCs w:val="23"/>
        </w:rPr>
      </w:pPr>
    </w:p>
    <w:p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Dependent</w:t>
            </w:r>
          </w:p>
          <w:p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rsidR="00A32A3C" w:rsidRPr="00A32A3C" w:rsidRDefault="00A32A3C" w:rsidP="00A32A3C">
      <w:pPr>
        <w:rPr>
          <w:rFonts w:ascii="Arial Narrow" w:hAnsi="Arial Narrow"/>
          <w:b/>
          <w:i/>
          <w:sz w:val="23"/>
          <w:szCs w:val="23"/>
        </w:rPr>
      </w:pPr>
    </w:p>
    <w:p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$9,600;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rPr>
        <w:t xml:space="preserv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201</w:t>
      </w:r>
      <w:r w:rsidR="00261E83">
        <w:rPr>
          <w:rFonts w:ascii="Arial Narrow" w:hAnsi="Arial Narrow" w:cs="Arial"/>
        </w:rPr>
        <w:t>6</w:t>
      </w:r>
      <w:r w:rsidRPr="00F21195">
        <w:rPr>
          <w:rFonts w:ascii="Arial Narrow" w:hAnsi="Arial Narrow" w:cs="Arial"/>
        </w:rPr>
        <w:t>, 201</w:t>
      </w:r>
      <w:r w:rsidR="00261E83">
        <w:rPr>
          <w:rFonts w:ascii="Arial Narrow" w:hAnsi="Arial Narrow" w:cs="Arial"/>
        </w:rPr>
        <w:t>5</w:t>
      </w:r>
      <w:r w:rsidRPr="00F21195">
        <w:rPr>
          <w:rFonts w:ascii="Arial Narrow" w:hAnsi="Arial Narrow" w:cs="Arial"/>
        </w:rPr>
        <w:t xml:space="preserve"> and 201</w:t>
      </w:r>
      <w:r w:rsidR="00261E83">
        <w:rPr>
          <w:rFonts w:ascii="Arial Narrow" w:hAnsi="Arial Narrow" w:cs="Arial"/>
        </w:rPr>
        <w:t>4</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261E83">
        <w:rPr>
          <w:rFonts w:ascii="Arial Narrow" w:hAnsi="Arial Narrow" w:cs="Arial"/>
          <w:b/>
          <w:highlight w:val="yellow"/>
        </w:rPr>
        <w:t>5</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261E83">
        <w:rPr>
          <w:rFonts w:ascii="Arial Narrow" w:eastAsia="Times New Roman" w:hAnsi="Arial Narrow" w:cs="Arial"/>
          <w:b/>
          <w:highlight w:val="yellow"/>
        </w:rPr>
        <w:t>6</w:t>
      </w:r>
      <w:r w:rsidR="00B34F33" w:rsidRPr="00F21195">
        <w:rPr>
          <w:rFonts w:ascii="Arial Narrow" w:eastAsia="Times New Roman" w:hAnsi="Arial Narrow" w:cs="Arial"/>
          <w:b/>
          <w:highlight w:val="yellow"/>
        </w:rPr>
        <w:t xml:space="preserve"> must agree with amount per ERSRI).</w:t>
      </w:r>
    </w:p>
    <w:p w:rsidR="008F24DE" w:rsidRDefault="008F24DE" w:rsidP="00292379">
      <w:pPr>
        <w:tabs>
          <w:tab w:val="left" w:pos="720"/>
        </w:tabs>
        <w:spacing w:after="0" w:line="240" w:lineRule="auto"/>
        <w:jc w:val="both"/>
        <w:rPr>
          <w:rFonts w:ascii="Arial Narrow" w:hAnsi="Arial Narrow" w:cs="Arial"/>
        </w:rPr>
      </w:pPr>
    </w:p>
    <w:p w:rsidR="00A32A3C" w:rsidRDefault="00A32A3C" w:rsidP="00EF5D50">
      <w:pPr>
        <w:tabs>
          <w:tab w:val="left" w:pos="720"/>
        </w:tabs>
        <w:spacing w:after="0" w:line="240" w:lineRule="auto"/>
        <w:jc w:val="both"/>
        <w:rPr>
          <w:rFonts w:ascii="Arial Narrow" w:eastAsia="Times New Roman" w:hAnsi="Arial Narrow" w:cs="Arial"/>
          <w:b/>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201</w:t>
      </w:r>
      <w:r w:rsidR="00261E83">
        <w:rPr>
          <w:rFonts w:ascii="Arial Narrow" w:eastAsia="Times New Roman" w:hAnsi="Arial Narrow" w:cs="Arial"/>
        </w:rPr>
        <w:t>6</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page </w:t>
      </w:r>
      <w:r w:rsidR="00537775">
        <w:rPr>
          <w:rFonts w:ascii="Arial Narrow" w:eastAsia="Times New Roman" w:hAnsi="Arial Narrow" w:cs="Arial"/>
          <w:highlight w:val="yellow"/>
        </w:rPr>
        <w:t>7</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201</w:t>
      </w:r>
      <w:r w:rsidR="00261E83">
        <w:rPr>
          <w:rFonts w:ascii="Arial Narrow" w:eastAsia="Times New Roman" w:hAnsi="Arial Narrow" w:cs="Arial"/>
        </w:rPr>
        <w:t>5</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201</w:t>
      </w:r>
      <w:r w:rsidR="00A31B1C">
        <w:rPr>
          <w:rFonts w:ascii="Arial Narrow" w:eastAsia="Times New Roman" w:hAnsi="Arial Narrow" w:cs="Arial"/>
        </w:rPr>
        <w:t>4</w:t>
      </w:r>
      <w:r w:rsidR="003617A7">
        <w:rPr>
          <w:rFonts w:ascii="Arial Narrow" w:eastAsia="Times New Roman" w:hAnsi="Arial Narrow" w:cs="Arial"/>
        </w:rPr>
        <w:t xml:space="preserve"> rolled forward to June 30, 201</w:t>
      </w:r>
      <w:r w:rsidR="00A31B1C">
        <w:rPr>
          <w:rFonts w:ascii="Arial Narrow" w:eastAsia="Times New Roman" w:hAnsi="Arial Narrow" w:cs="Arial"/>
        </w:rPr>
        <w:t>5</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201</w:t>
      </w:r>
      <w:r w:rsidR="00261E83">
        <w:rPr>
          <w:rFonts w:ascii="Arial Narrow" w:eastAsia="Times New Roman" w:hAnsi="Arial Narrow" w:cs="Arial"/>
        </w:rPr>
        <w:t>5</w:t>
      </w:r>
      <w:r w:rsidR="004C7393" w:rsidRPr="00F21195">
        <w:rPr>
          <w:rFonts w:ascii="Arial Narrow" w:eastAsia="Times New Roman" w:hAnsi="Arial Narrow" w:cs="Arial"/>
        </w:rPr>
        <w:t xml:space="preserve"> relative to the total contributions of all participating employers for that fiscal year. At June 30, 201</w:t>
      </w:r>
      <w:r w:rsidR="00261E83">
        <w:rPr>
          <w:rFonts w:ascii="Arial Narrow" w:eastAsia="Times New Roman" w:hAnsi="Arial Narrow" w:cs="Arial"/>
        </w:rPr>
        <w:t>5</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201</w:t>
      </w:r>
      <w:r w:rsidR="00261E83">
        <w:rPr>
          <w:rFonts w:ascii="Arial Narrow" w:eastAsia="Times New Roman" w:hAnsi="Arial Narrow" w:cs="Arial"/>
        </w:rPr>
        <w:t>6</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r w:rsidR="004F5711" w:rsidRPr="00F21195">
        <w:rPr>
          <w:rFonts w:ascii="Arial Narrow" w:eastAsia="Times New Roman" w:hAnsi="Arial Narrow" w:cs="Arial"/>
          <w:highlight w:val="yellow"/>
        </w:rPr>
        <w:t>XXX,XXX</w:t>
      </w:r>
      <w:r w:rsidR="0034019F">
        <w:rPr>
          <w:rFonts w:ascii="Arial Narrow" w:eastAsia="Times New Roman" w:hAnsi="Arial Narrow" w:cs="Arial"/>
        </w:rPr>
        <w:t xml:space="preserve">) – an increase 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261E83">
        <w:rPr>
          <w:rFonts w:ascii="Arial Narrow" w:eastAsia="Times New Roman" w:hAnsi="Arial Narrow" w:cs="Arial"/>
        </w:rPr>
        <w:t>6</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Ind w:w="1098" w:type="dxa"/>
        <w:tblLook w:val="04A0" w:firstRow="1" w:lastRow="0" w:firstColumn="1" w:lastColumn="0" w:noHBand="0" w:noVBand="1"/>
      </w:tblPr>
      <w:tblGrid>
        <w:gridCol w:w="3780"/>
        <w:gridCol w:w="236"/>
        <w:gridCol w:w="1834"/>
      </w:tblGrid>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240B55">
        <w:trPr>
          <w:trHeight w:val="125"/>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C51A03">
            <w:pPr>
              <w:tabs>
                <w:tab w:val="left" w:pos="720"/>
              </w:tabs>
              <w:ind w:left="207"/>
              <w:rPr>
                <w:rFonts w:ascii="Arial Narrow" w:eastAsia="Times New Roman" w:hAnsi="Arial Narrow" w:cs="Arial"/>
              </w:rPr>
            </w:pP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bl>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2D6BB3" w:rsidRPr="000E6A41">
        <w:rPr>
          <w:rFonts w:ascii="Arial Narrow" w:eastAsia="Times New Roman" w:hAnsi="Arial Narrow" w:cs="Arial"/>
          <w:b/>
        </w:rPr>
        <w:t>.</w:t>
      </w: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4015AC" w:rsidRDefault="004015AC" w:rsidP="00EF5D50">
      <w:pPr>
        <w:tabs>
          <w:tab w:val="left" w:pos="720"/>
        </w:tabs>
        <w:spacing w:after="0" w:line="240" w:lineRule="auto"/>
        <w:jc w:val="both"/>
        <w:rPr>
          <w:rFonts w:ascii="Arial Narrow" w:eastAsia="Times New Roman" w:hAnsi="Arial Narrow" w:cs="Arial"/>
        </w:rPr>
      </w:pPr>
    </w:p>
    <w:p w:rsidR="005467B7" w:rsidRPr="00F21195" w:rsidRDefault="005467B7"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 xml:space="preserve">in fiscal year 2015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Pr="00F21195">
        <w:rPr>
          <w:rFonts w:ascii="Arial Narrow" w:eastAsia="Times New Roman" w:hAnsi="Arial Narrow" w:cs="Arial"/>
        </w:rPr>
        <w:t>for the year ended June 30, 2016</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60"/>
        <w:gridCol w:w="5598"/>
      </w:tblGrid>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201</w:t>
            </w:r>
            <w:r w:rsidR="00261E83">
              <w:rPr>
                <w:rFonts w:ascii="Arial Narrow" w:eastAsia="Times New Roman" w:hAnsi="Arial Narrow" w:cs="Arial"/>
                <w:b/>
              </w:rPr>
              <w:t>7</w:t>
            </w:r>
          </w:p>
        </w:tc>
        <w:tc>
          <w:tcPr>
            <w:tcW w:w="5598" w:type="dxa"/>
          </w:tcPr>
          <w:p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201</w:t>
            </w:r>
            <w:r w:rsidR="00261E83">
              <w:rPr>
                <w:rFonts w:ascii="Arial Narrow" w:eastAsia="Times New Roman" w:hAnsi="Arial Narrow" w:cs="Arial"/>
                <w:b/>
              </w:rPr>
              <w:t>8</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201</w:t>
            </w:r>
            <w:r w:rsidR="00261E83">
              <w:rPr>
                <w:rFonts w:ascii="Arial Narrow" w:eastAsia="Times New Roman" w:hAnsi="Arial Narrow" w:cs="Arial"/>
                <w:b/>
              </w:rPr>
              <w:t>9</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261E83" w:rsidTr="005467B7">
        <w:tc>
          <w:tcPr>
            <w:tcW w:w="2160" w:type="dxa"/>
          </w:tcPr>
          <w:p w:rsidR="00261E83" w:rsidRDefault="00261E83" w:rsidP="00261E83">
            <w:pPr>
              <w:tabs>
                <w:tab w:val="left" w:pos="720"/>
              </w:tabs>
              <w:jc w:val="center"/>
              <w:rPr>
                <w:rFonts w:ascii="Arial Narrow" w:eastAsia="Times New Roman" w:hAnsi="Arial Narrow" w:cs="Arial"/>
                <w:b/>
              </w:rPr>
            </w:pPr>
            <w:r>
              <w:rPr>
                <w:rFonts w:ascii="Arial Narrow" w:eastAsia="Times New Roman" w:hAnsi="Arial Narrow" w:cs="Arial"/>
                <w:b/>
              </w:rPr>
              <w:t>2021</w:t>
            </w:r>
          </w:p>
        </w:tc>
        <w:tc>
          <w:tcPr>
            <w:tcW w:w="5598" w:type="dxa"/>
          </w:tcPr>
          <w:p w:rsidR="00261E83" w:rsidRDefault="00261E83" w:rsidP="00E2314C">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Default="004015AC" w:rsidP="00E2314C">
      <w:pPr>
        <w:tabs>
          <w:tab w:val="left" w:pos="720"/>
        </w:tabs>
        <w:spacing w:after="0" w:line="240" w:lineRule="auto"/>
        <w:jc w:val="center"/>
        <w:rPr>
          <w:rFonts w:ascii="Arial Narrow" w:eastAsia="Times New Roman" w:hAnsi="Arial Narrow" w:cs="Arial"/>
          <w:b/>
        </w:rPr>
      </w:pPr>
    </w:p>
    <w:p w:rsidR="00092E5D" w:rsidRDefault="00092E5D" w:rsidP="00E2314C">
      <w:pPr>
        <w:tabs>
          <w:tab w:val="left" w:pos="720"/>
        </w:tabs>
        <w:spacing w:after="0" w:line="240" w:lineRule="auto"/>
        <w:jc w:val="center"/>
        <w:rPr>
          <w:rFonts w:ascii="Arial Narrow" w:eastAsia="Times New Roman" w:hAnsi="Arial Narrow" w:cs="Arial"/>
          <w:b/>
        </w:rPr>
      </w:pPr>
    </w:p>
    <w:p w:rsidR="00092E5D" w:rsidRDefault="00092E5D" w:rsidP="00E2314C">
      <w:pPr>
        <w:tabs>
          <w:tab w:val="left" w:pos="720"/>
        </w:tabs>
        <w:spacing w:after="0" w:line="240" w:lineRule="auto"/>
        <w:jc w:val="center"/>
        <w:rPr>
          <w:rFonts w:ascii="Arial Narrow" w:eastAsia="Times New Roman" w:hAnsi="Arial Narrow" w:cs="Arial"/>
          <w:b/>
        </w:rPr>
      </w:pPr>
    </w:p>
    <w:p w:rsidR="00092E5D" w:rsidRPr="00F21195" w:rsidRDefault="00092E5D" w:rsidP="00E2314C">
      <w:pPr>
        <w:tabs>
          <w:tab w:val="left" w:pos="720"/>
        </w:tabs>
        <w:spacing w:after="0" w:line="240" w:lineRule="auto"/>
        <w:jc w:val="center"/>
        <w:rPr>
          <w:rFonts w:ascii="Arial Narrow" w:eastAsia="Times New Roman" w:hAnsi="Arial Narrow" w:cs="Arial"/>
          <w:b/>
        </w:rPr>
      </w:pPr>
    </w:p>
    <w:p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2.75%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3.50% to </w:t>
      </w:r>
      <w:r w:rsidR="000E6A41">
        <w:rPr>
          <w:rFonts w:ascii="Arial Narrow" w:eastAsia="Times New Roman" w:hAnsi="Arial Narrow" w:cs="Arial"/>
        </w:rPr>
        <w:t>13.5</w:t>
      </w:r>
      <w:r w:rsidR="00B203CE" w:rsidRPr="00F21195">
        <w:rPr>
          <w:rFonts w:ascii="Arial Narrow" w:eastAsia="Times New Roman" w:hAnsi="Arial Narrow" w:cs="Arial"/>
        </w:rPr>
        <w:t>0%</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7.50%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E7CA9" w:rsidRPr="00F21195" w:rsidRDefault="00B203CE" w:rsidP="000E6A41">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Mortality rates </w:t>
      </w:r>
      <w:r w:rsidR="000E6A41">
        <w:rPr>
          <w:rFonts w:ascii="Arial Narrow" w:eastAsia="Times New Roman" w:hAnsi="Arial Narrow" w:cs="Arial"/>
        </w:rPr>
        <w:t xml:space="preserve">for male and female teachers </w:t>
      </w:r>
      <w:r w:rsidRPr="00F21195">
        <w:rPr>
          <w:rFonts w:ascii="Arial Narrow" w:eastAsia="Times New Roman" w:hAnsi="Arial Narrow" w:cs="Arial"/>
        </w:rPr>
        <w:t xml:space="preserve">were based on </w:t>
      </w:r>
      <w:r w:rsidR="000E6A41">
        <w:rPr>
          <w:rFonts w:ascii="Arial Narrow" w:eastAsia="Times New Roman" w:hAnsi="Arial Narrow" w:cs="Arial"/>
        </w:rPr>
        <w:t>97</w:t>
      </w:r>
      <w:r w:rsidRPr="00F21195">
        <w:rPr>
          <w:rFonts w:ascii="Arial Narrow" w:eastAsia="Times New Roman" w:hAnsi="Arial Narrow" w:cs="Arial"/>
        </w:rPr>
        <w:t>%</w:t>
      </w:r>
      <w:r w:rsidR="00BF7845" w:rsidRPr="00F21195">
        <w:rPr>
          <w:rFonts w:ascii="Arial Narrow" w:eastAsia="Times New Roman" w:hAnsi="Arial Narrow" w:cs="Arial"/>
        </w:rPr>
        <w:t xml:space="preserve"> (males) </w:t>
      </w:r>
      <w:r w:rsidRPr="00F21195">
        <w:rPr>
          <w:rFonts w:ascii="Arial Narrow" w:eastAsia="Times New Roman" w:hAnsi="Arial Narrow" w:cs="Arial"/>
        </w:rPr>
        <w:t>and 9</w:t>
      </w:r>
      <w:r w:rsidR="000E6A41">
        <w:rPr>
          <w:rFonts w:ascii="Arial Narrow" w:eastAsia="Times New Roman" w:hAnsi="Arial Narrow" w:cs="Arial"/>
        </w:rPr>
        <w:t>2</w:t>
      </w:r>
      <w:r w:rsidRPr="00F21195">
        <w:rPr>
          <w:rFonts w:ascii="Arial Narrow" w:eastAsia="Times New Roman" w:hAnsi="Arial Narrow" w:cs="Arial"/>
        </w:rPr>
        <w:t xml:space="preserve">% </w:t>
      </w:r>
      <w:r w:rsidR="00BF7845" w:rsidRPr="00F21195">
        <w:rPr>
          <w:rFonts w:ascii="Arial Narrow" w:eastAsia="Times New Roman" w:hAnsi="Arial Narrow" w:cs="Arial"/>
        </w:rPr>
        <w:t xml:space="preserve">(females) </w:t>
      </w:r>
      <w:r w:rsidRPr="00F21195">
        <w:rPr>
          <w:rFonts w:ascii="Arial Narrow" w:eastAsia="Times New Roman" w:hAnsi="Arial Narrow" w:cs="Arial"/>
        </w:rPr>
        <w:t xml:space="preserve">of </w:t>
      </w:r>
      <w:r w:rsidR="000E6A41">
        <w:rPr>
          <w:rFonts w:ascii="Arial Narrow" w:eastAsia="Times New Roman" w:hAnsi="Arial Narrow" w:cs="Arial"/>
        </w:rPr>
        <w:t xml:space="preserve">rates in a GRS table based on male and female teacher experience, projected </w:t>
      </w:r>
      <w:r w:rsidR="00BF7845" w:rsidRPr="00F21195">
        <w:rPr>
          <w:rFonts w:ascii="Arial Narrow" w:eastAsia="Times New Roman" w:hAnsi="Arial Narrow" w:cs="Arial"/>
        </w:rPr>
        <w:t>with scale AA from 2000.</w:t>
      </w:r>
    </w:p>
    <w:p w:rsidR="00A32A3C" w:rsidRDefault="00A32A3C" w:rsidP="004B0015">
      <w:pPr>
        <w:tabs>
          <w:tab w:val="left" w:pos="720"/>
        </w:tabs>
        <w:spacing w:after="0" w:line="240" w:lineRule="auto"/>
        <w:jc w:val="both"/>
        <w:rPr>
          <w:rFonts w:ascii="Arial Narrow" w:eastAsia="Times New Roman" w:hAnsi="Arial Narrow" w:cs="Arial"/>
        </w:rPr>
      </w:pPr>
    </w:p>
    <w:p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2.75% cost of living adjustment is assumed.</w:t>
      </w:r>
    </w:p>
    <w:p w:rsidR="000E6A41" w:rsidRDefault="000E6A41"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261E83">
        <w:rPr>
          <w:rFonts w:ascii="Arial Narrow" w:eastAsia="Times New Roman" w:hAnsi="Arial Narrow" w:cs="Arial"/>
        </w:rPr>
        <w:t>4</w:t>
      </w:r>
      <w:r w:rsidRPr="00F21195">
        <w:rPr>
          <w:rFonts w:ascii="Arial Narrow" w:eastAsia="Times New Roman" w:hAnsi="Arial Narrow" w:cs="Arial"/>
        </w:rPr>
        <w:t xml:space="preserve"> valuation rolled forward to June 30, 201</w:t>
      </w:r>
      <w:r w:rsidR="00261E83">
        <w:rPr>
          <w:rFonts w:ascii="Arial Narrow" w:eastAsia="Times New Roman" w:hAnsi="Arial Narrow" w:cs="Arial"/>
        </w:rPr>
        <w:t>5</w:t>
      </w:r>
      <w:r w:rsidRPr="00F21195">
        <w:rPr>
          <w:rFonts w:ascii="Arial Narrow" w:eastAsia="Times New Roman" w:hAnsi="Arial Narrow" w:cs="Arial"/>
        </w:rPr>
        <w:t xml:space="preserve"> and the calculation of the total pension liability at June 30, 201</w:t>
      </w:r>
      <w:r w:rsidR="00261E83">
        <w:rPr>
          <w:rFonts w:ascii="Arial Narrow" w:eastAsia="Times New Roman" w:hAnsi="Arial Narrow" w:cs="Arial"/>
        </w:rPr>
        <w:t>5</w:t>
      </w:r>
      <w:r w:rsidRPr="00F21195">
        <w:rPr>
          <w:rFonts w:ascii="Arial Narrow" w:eastAsia="Times New Roman" w:hAnsi="Arial Narrow" w:cs="Arial"/>
        </w:rPr>
        <w:t xml:space="preserve"> were consistent with the results of an actuarial experience study performed as of June 30, 2013.</w:t>
      </w:r>
    </w:p>
    <w:p w:rsidR="00BF7845" w:rsidRPr="00F21195" w:rsidRDefault="00BF7845" w:rsidP="00EF5D50">
      <w:pPr>
        <w:tabs>
          <w:tab w:val="left" w:pos="720"/>
        </w:tabs>
        <w:spacing w:after="0" w:line="240" w:lineRule="auto"/>
        <w:jc w:val="both"/>
        <w:rPr>
          <w:rFonts w:ascii="Arial Narrow" w:eastAsia="Times New Roman" w:hAnsi="Arial Narrow" w:cs="Arial"/>
        </w:rPr>
      </w:pPr>
    </w:p>
    <w:p w:rsidR="00261E83" w:rsidRPr="00417F0E" w:rsidRDefault="00261E83" w:rsidP="00261E83">
      <w:pPr>
        <w:tabs>
          <w:tab w:val="left" w:pos="720"/>
        </w:tabs>
        <w:spacing w:after="0" w:line="240" w:lineRule="auto"/>
        <w:jc w:val="both"/>
        <w:rPr>
          <w:rFonts w:ascii="Arial Narrow" w:eastAsia="Times New Roman" w:hAnsi="Arial Narrow" w:cs="Arial"/>
        </w:rPr>
      </w:pPr>
      <w:r w:rsidRPr="00417F0E">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23 sources.  The June 30, 2015 expected arithmetic returns over the long-term (20 years) by asset class are summarized in the following table:</w:t>
      </w:r>
    </w:p>
    <w:tbl>
      <w:tblPr>
        <w:tblW w:w="0" w:type="auto"/>
        <w:jc w:val="center"/>
        <w:tblLook w:val="0080" w:firstRow="0" w:lastRow="0" w:firstColumn="1" w:lastColumn="0" w:noHBand="0" w:noVBand="0"/>
      </w:tblPr>
      <w:tblGrid>
        <w:gridCol w:w="5769"/>
        <w:gridCol w:w="222"/>
      </w:tblGrid>
      <w:tr w:rsidR="00261E83" w:rsidRPr="00DC568D" w:rsidTr="00C51A03">
        <w:trPr>
          <w:trHeight w:val="536"/>
          <w:jc w:val="center"/>
        </w:trPr>
        <w:tc>
          <w:tcPr>
            <w:tcW w:w="0" w:type="auto"/>
            <w:shd w:val="clear" w:color="auto" w:fill="FFFFFF"/>
          </w:tcPr>
          <w:p w:rsidR="00261E83" w:rsidRPr="0037245D" w:rsidRDefault="0069703A" w:rsidP="00C51A03">
            <w:pPr>
              <w:spacing w:after="0" w:line="240" w:lineRule="auto"/>
              <w:rPr>
                <w:rFonts w:ascii="CG Times (W1)" w:eastAsia="Times New Roman" w:hAnsi="CG Times (W1)" w:cs="Times New Roman"/>
                <w:sz w:val="24"/>
                <w:szCs w:val="20"/>
              </w:rPr>
            </w:pPr>
            <w:bookmarkStart w:id="0" w:name="_GoBack"/>
            <w:bookmarkEnd w:id="0"/>
            <w:r>
              <w:rPr>
                <w:rFonts w:ascii="CG Times (W1)" w:eastAsia="Times New Roman" w:hAnsi="CG Times (W1)" w:cs="Times New Roman"/>
                <w:noProof/>
                <w:sz w:val="24"/>
                <w:szCs w:val="20"/>
              </w:rPr>
              <w:drawing>
                <wp:inline distT="0" distB="0" distL="0" distR="0" wp14:anchorId="3BB44F19" wp14:editId="0F4B5836">
                  <wp:extent cx="3526681"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699" cy="3851393"/>
                          </a:xfrm>
                          <a:prstGeom prst="rect">
                            <a:avLst/>
                          </a:prstGeom>
                          <a:noFill/>
                          <a:ln>
                            <a:noFill/>
                          </a:ln>
                        </pic:spPr>
                      </pic:pic>
                    </a:graphicData>
                  </a:graphic>
                </wp:inline>
              </w:drawing>
            </w:r>
          </w:p>
          <w:p w:rsidR="00261E83" w:rsidRPr="00DC568D" w:rsidRDefault="00261E83" w:rsidP="00C51A03">
            <w:pPr>
              <w:jc w:val="center"/>
              <w:rPr>
                <w:rFonts w:ascii="Arial Narrow" w:hAnsi="Arial Narrow"/>
                <w:b/>
                <w:u w:val="single"/>
              </w:rPr>
            </w:pPr>
          </w:p>
        </w:tc>
        <w:tc>
          <w:tcPr>
            <w:tcW w:w="0" w:type="auto"/>
            <w:shd w:val="clear" w:color="auto" w:fill="FFFFFF"/>
          </w:tcPr>
          <w:p w:rsidR="00261E83" w:rsidRPr="00DC568D" w:rsidRDefault="00261E83" w:rsidP="00C51A03">
            <w:pPr>
              <w:jc w:val="center"/>
              <w:rPr>
                <w:rFonts w:ascii="Arial Narrow" w:hAnsi="Arial Narrow"/>
                <w:b/>
                <w:u w:val="single"/>
              </w:rPr>
            </w:pPr>
          </w:p>
        </w:tc>
      </w:tr>
    </w:tbl>
    <w:p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lastRenderedPageBreak/>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1E7CA9" w:rsidRPr="00F21195" w:rsidRDefault="001E7CA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net pension liability (asset) calculated using the discount rate of 7.5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Pr="00F21195" w:rsidRDefault="001E7CA9"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Ind w:w="1908" w:type="dxa"/>
        <w:tblLook w:val="04A0" w:firstRow="1" w:lastRow="0" w:firstColumn="1" w:lastColumn="0" w:noHBand="0" w:noVBand="1"/>
      </w:tblPr>
      <w:tblGrid>
        <w:gridCol w:w="2160"/>
        <w:gridCol w:w="2316"/>
        <w:gridCol w:w="2094"/>
      </w:tblGrid>
      <w:tr w:rsidR="0098479E" w:rsidTr="005D209E">
        <w:trPr>
          <w:jc w:val="center"/>
        </w:trPr>
        <w:tc>
          <w:tcPr>
            <w:tcW w:w="2160"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98479E" w:rsidTr="0098479E">
        <w:trPr>
          <w:jc w:val="center"/>
        </w:trPr>
        <w:tc>
          <w:tcPr>
            <w:tcW w:w="2160" w:type="dxa"/>
            <w:shd w:val="clear" w:color="auto" w:fill="FFFF00"/>
          </w:tcPr>
          <w:p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rsidR="0098479E" w:rsidRDefault="0098479E" w:rsidP="005D209E">
            <w:pPr>
              <w:jc w:val="center"/>
              <w:rPr>
                <w:rFonts w:ascii="Arial Narrow" w:eastAsia="Times New Roman" w:hAnsi="Arial Narrow" w:cs="Arial"/>
                <w:b/>
                <w:sz w:val="20"/>
                <w:szCs w:val="20"/>
              </w:rPr>
            </w:pPr>
          </w:p>
        </w:tc>
      </w:tr>
    </w:tbl>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D71B59" w:rsidRDefault="00D71B59" w:rsidP="001E7CA9">
      <w:pPr>
        <w:tabs>
          <w:tab w:val="left" w:pos="720"/>
        </w:tabs>
        <w:spacing w:after="0" w:line="240" w:lineRule="auto"/>
        <w:jc w:val="both"/>
        <w:rPr>
          <w:rFonts w:ascii="Arial Narrow" w:eastAsia="Times New Roman" w:hAnsi="Arial Narrow" w:cs="Arial"/>
        </w:rPr>
      </w:pPr>
    </w:p>
    <w:p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0221B7" w:rsidRDefault="000221B7" w:rsidP="001E7CA9">
      <w:pPr>
        <w:tabs>
          <w:tab w:val="left" w:pos="720"/>
        </w:tabs>
        <w:spacing w:after="0" w:line="240" w:lineRule="auto"/>
        <w:jc w:val="both"/>
        <w:rPr>
          <w:rFonts w:ascii="Arial Narrow" w:eastAsia="Times New Roman" w:hAnsi="Arial Narrow" w:cs="Arial"/>
        </w:rPr>
      </w:pPr>
    </w:p>
    <w:p w:rsidR="00A32A3C" w:rsidRDefault="00A32A3C" w:rsidP="00200068">
      <w:pPr>
        <w:spacing w:after="0" w:line="240" w:lineRule="auto"/>
        <w:jc w:val="both"/>
        <w:rPr>
          <w:rFonts w:ascii="Arial Narrow" w:eastAsia="Times New Roman" w:hAnsi="Arial Narrow" w:cs="Arial"/>
        </w:rPr>
      </w:pPr>
    </w:p>
    <w:p w:rsidR="00667887" w:rsidRDefault="00667887" w:rsidP="00200068">
      <w:pPr>
        <w:spacing w:after="0" w:line="240" w:lineRule="auto"/>
        <w:jc w:val="both"/>
        <w:rPr>
          <w:rFonts w:ascii="Arial Narrow" w:eastAsia="Times New Roman" w:hAnsi="Arial Narrow" w:cs="Arial"/>
        </w:rPr>
      </w:pPr>
    </w:p>
    <w:p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667887" w:rsidRDefault="00667887" w:rsidP="00667887">
      <w:pPr>
        <w:jc w:val="both"/>
      </w:pPr>
    </w:p>
    <w:p w:rsidR="00667887" w:rsidRPr="00F21195" w:rsidRDefault="00667887" w:rsidP="00200068">
      <w:pPr>
        <w:spacing w:after="0" w:line="240" w:lineRule="auto"/>
        <w:jc w:val="both"/>
        <w:rPr>
          <w:rFonts w:ascii="Arial Narrow" w:eastAsia="Times New Roman" w:hAnsi="Arial Narrow" w:cs="Arial"/>
        </w:rPr>
      </w:pPr>
    </w:p>
    <w:sectPr w:rsidR="00667887" w:rsidRPr="00F21195" w:rsidSect="00147CB0">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2F" w:rsidRDefault="0083552F" w:rsidP="00601F0C">
      <w:pPr>
        <w:spacing w:after="0" w:line="240" w:lineRule="auto"/>
      </w:pPr>
      <w:r>
        <w:separator/>
      </w:r>
    </w:p>
  </w:endnote>
  <w:endnote w:type="continuationSeparator" w:id="0">
    <w:p w:rsidR="0083552F" w:rsidRDefault="0083552F"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0C" w:rsidRPr="00601F0C" w:rsidRDefault="00601F0C" w:rsidP="00601F0C">
    <w:pPr>
      <w:pStyle w:val="Footer"/>
      <w:jc w:val="center"/>
      <w:rPr>
        <w:rFonts w:ascii="Arial Narrow" w:hAnsi="Arial Narrow"/>
      </w:rPr>
    </w:pPr>
    <w:r w:rsidRPr="00601F0C">
      <w:rPr>
        <w:rFonts w:ascii="Arial Narrow" w:hAnsi="Arial Narrow"/>
      </w:rPr>
      <w:fldChar w:fldCharType="begin"/>
    </w:r>
    <w:r w:rsidRPr="00601F0C">
      <w:rPr>
        <w:rFonts w:ascii="Arial Narrow" w:hAnsi="Arial Narrow"/>
      </w:rPr>
      <w:instrText xml:space="preserve"> PAGE   \* MERGEFORMAT </w:instrText>
    </w:r>
    <w:r w:rsidRPr="00601F0C">
      <w:rPr>
        <w:rFonts w:ascii="Arial Narrow" w:hAnsi="Arial Narrow"/>
      </w:rPr>
      <w:fldChar w:fldCharType="separate"/>
    </w:r>
    <w:r w:rsidR="00092E5D">
      <w:rPr>
        <w:rFonts w:ascii="Arial Narrow" w:hAnsi="Arial Narrow"/>
        <w:noProof/>
      </w:rPr>
      <w:t>5</w:t>
    </w:r>
    <w:r w:rsidRPr="00601F0C">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2F" w:rsidRDefault="0083552F" w:rsidP="00601F0C">
      <w:pPr>
        <w:spacing w:after="0" w:line="240" w:lineRule="auto"/>
      </w:pPr>
      <w:r>
        <w:separator/>
      </w:r>
    </w:p>
  </w:footnote>
  <w:footnote w:type="continuationSeparator" w:id="0">
    <w:p w:rsidR="0083552F" w:rsidRDefault="0083552F" w:rsidP="0060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1"/>
    <w:rsid w:val="00012292"/>
    <w:rsid w:val="000221B7"/>
    <w:rsid w:val="00036DC3"/>
    <w:rsid w:val="000466F6"/>
    <w:rsid w:val="0005796D"/>
    <w:rsid w:val="00075E81"/>
    <w:rsid w:val="00092E5D"/>
    <w:rsid w:val="00095A31"/>
    <w:rsid w:val="000E6A41"/>
    <w:rsid w:val="00120C40"/>
    <w:rsid w:val="001234C9"/>
    <w:rsid w:val="00132A46"/>
    <w:rsid w:val="001432BB"/>
    <w:rsid w:val="00145CE0"/>
    <w:rsid w:val="00147CB0"/>
    <w:rsid w:val="001512C3"/>
    <w:rsid w:val="001545D6"/>
    <w:rsid w:val="00165606"/>
    <w:rsid w:val="00186CC5"/>
    <w:rsid w:val="001E60C2"/>
    <w:rsid w:val="001E7CA9"/>
    <w:rsid w:val="00200068"/>
    <w:rsid w:val="002123CD"/>
    <w:rsid w:val="00214394"/>
    <w:rsid w:val="00236F5F"/>
    <w:rsid w:val="00240B55"/>
    <w:rsid w:val="0024230F"/>
    <w:rsid w:val="00242E2D"/>
    <w:rsid w:val="00261E83"/>
    <w:rsid w:val="00264A4E"/>
    <w:rsid w:val="002662BF"/>
    <w:rsid w:val="0026784C"/>
    <w:rsid w:val="00291D7C"/>
    <w:rsid w:val="00292379"/>
    <w:rsid w:val="002D0D37"/>
    <w:rsid w:val="002D13DA"/>
    <w:rsid w:val="002D6BB3"/>
    <w:rsid w:val="002E7275"/>
    <w:rsid w:val="00307B49"/>
    <w:rsid w:val="00321CB3"/>
    <w:rsid w:val="00335BBA"/>
    <w:rsid w:val="0034019F"/>
    <w:rsid w:val="0035019D"/>
    <w:rsid w:val="003617A7"/>
    <w:rsid w:val="003B06D7"/>
    <w:rsid w:val="003B65BF"/>
    <w:rsid w:val="003F7C79"/>
    <w:rsid w:val="004015AC"/>
    <w:rsid w:val="00410CF2"/>
    <w:rsid w:val="004153B4"/>
    <w:rsid w:val="00416A7C"/>
    <w:rsid w:val="00424D6C"/>
    <w:rsid w:val="00472956"/>
    <w:rsid w:val="00482CE5"/>
    <w:rsid w:val="004A4716"/>
    <w:rsid w:val="004B0015"/>
    <w:rsid w:val="004C7393"/>
    <w:rsid w:val="004D605D"/>
    <w:rsid w:val="004F5711"/>
    <w:rsid w:val="005132C9"/>
    <w:rsid w:val="00537775"/>
    <w:rsid w:val="005467B7"/>
    <w:rsid w:val="00565B28"/>
    <w:rsid w:val="005913D7"/>
    <w:rsid w:val="005E4B40"/>
    <w:rsid w:val="00601F0C"/>
    <w:rsid w:val="00667887"/>
    <w:rsid w:val="0069703A"/>
    <w:rsid w:val="00697594"/>
    <w:rsid w:val="006B35AF"/>
    <w:rsid w:val="006E56AB"/>
    <w:rsid w:val="006E6BCE"/>
    <w:rsid w:val="006F114C"/>
    <w:rsid w:val="006F7531"/>
    <w:rsid w:val="007066C0"/>
    <w:rsid w:val="0071284C"/>
    <w:rsid w:val="00724196"/>
    <w:rsid w:val="0073219E"/>
    <w:rsid w:val="00737E53"/>
    <w:rsid w:val="00743A82"/>
    <w:rsid w:val="00763D36"/>
    <w:rsid w:val="00783CF3"/>
    <w:rsid w:val="007F6016"/>
    <w:rsid w:val="00804755"/>
    <w:rsid w:val="00824002"/>
    <w:rsid w:val="00825CC0"/>
    <w:rsid w:val="0083552F"/>
    <w:rsid w:val="008975B2"/>
    <w:rsid w:val="008B13F9"/>
    <w:rsid w:val="008C1133"/>
    <w:rsid w:val="008D35FB"/>
    <w:rsid w:val="008E613A"/>
    <w:rsid w:val="008F24DE"/>
    <w:rsid w:val="00936D54"/>
    <w:rsid w:val="00940409"/>
    <w:rsid w:val="00966174"/>
    <w:rsid w:val="0098479E"/>
    <w:rsid w:val="009D7CC3"/>
    <w:rsid w:val="009E6146"/>
    <w:rsid w:val="009F2435"/>
    <w:rsid w:val="00A279AE"/>
    <w:rsid w:val="00A31B1C"/>
    <w:rsid w:val="00A32A3C"/>
    <w:rsid w:val="00A3439A"/>
    <w:rsid w:val="00A736ED"/>
    <w:rsid w:val="00A86003"/>
    <w:rsid w:val="00AB6714"/>
    <w:rsid w:val="00AD48CD"/>
    <w:rsid w:val="00AD6512"/>
    <w:rsid w:val="00B046FA"/>
    <w:rsid w:val="00B07B0C"/>
    <w:rsid w:val="00B203CE"/>
    <w:rsid w:val="00B22AAD"/>
    <w:rsid w:val="00B34F33"/>
    <w:rsid w:val="00BF7845"/>
    <w:rsid w:val="00C31F72"/>
    <w:rsid w:val="00C448B1"/>
    <w:rsid w:val="00C927AD"/>
    <w:rsid w:val="00CA1591"/>
    <w:rsid w:val="00CA43B6"/>
    <w:rsid w:val="00CA49FD"/>
    <w:rsid w:val="00CF2DE1"/>
    <w:rsid w:val="00D30B01"/>
    <w:rsid w:val="00D43904"/>
    <w:rsid w:val="00D46626"/>
    <w:rsid w:val="00D62CA2"/>
    <w:rsid w:val="00D71B59"/>
    <w:rsid w:val="00D91AC0"/>
    <w:rsid w:val="00D96045"/>
    <w:rsid w:val="00DC06FD"/>
    <w:rsid w:val="00E2314C"/>
    <w:rsid w:val="00E43DCA"/>
    <w:rsid w:val="00E62EDB"/>
    <w:rsid w:val="00E63642"/>
    <w:rsid w:val="00EE0403"/>
    <w:rsid w:val="00EF21A6"/>
    <w:rsid w:val="00EF5D50"/>
    <w:rsid w:val="00F21195"/>
    <w:rsid w:val="00F330C6"/>
    <w:rsid w:val="00F40378"/>
    <w:rsid w:val="00F45224"/>
    <w:rsid w:val="00F63968"/>
    <w:rsid w:val="00F734D1"/>
    <w:rsid w:val="00F97BBC"/>
    <w:rsid w:val="00FB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Dennis Hoyle</cp:lastModifiedBy>
  <cp:revision>26</cp:revision>
  <cp:lastPrinted>2015-09-02T23:04:00Z</cp:lastPrinted>
  <dcterms:created xsi:type="dcterms:W3CDTF">2015-10-12T19:54:00Z</dcterms:created>
  <dcterms:modified xsi:type="dcterms:W3CDTF">2016-10-26T17:45:00Z</dcterms:modified>
</cp:coreProperties>
</file>